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ascii="微软雅黑" w:hAnsi="微软雅黑" w:eastAsia="微软雅黑" w:cs="微软雅黑"/>
          <w:i w:val="0"/>
          <w:iCs w:val="0"/>
          <w:caps w:val="0"/>
          <w:color w:val="333333"/>
          <w:spacing w:val="0"/>
          <w:sz w:val="18"/>
          <w:szCs w:val="18"/>
        </w:rPr>
      </w:pPr>
      <w:r>
        <w:rPr>
          <w:rFonts w:ascii="方正小标宋_GBK" w:hAnsi="方正小标宋_GBK" w:eastAsia="方正小标宋_GBK" w:cs="方正小标宋_GBK"/>
          <w:i w:val="0"/>
          <w:iCs w:val="0"/>
          <w:caps w:val="0"/>
          <w:color w:val="333333"/>
          <w:spacing w:val="0"/>
          <w:sz w:val="43"/>
          <w:szCs w:val="43"/>
          <w:shd w:val="clear" w:fill="FFFFFF"/>
        </w:rPr>
        <w:t>福建中晶科技有限公司</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hint="eastAsia" w:ascii="微软雅黑" w:hAnsi="微软雅黑" w:eastAsia="方正小标宋_GBK" w:cs="微软雅黑"/>
          <w:i w:val="0"/>
          <w:iCs w:val="0"/>
          <w:caps w:val="0"/>
          <w:color w:val="333333"/>
          <w:spacing w:val="0"/>
          <w:sz w:val="18"/>
          <w:szCs w:val="18"/>
          <w:lang w:eastAsia="zh-CN"/>
        </w:rPr>
      </w:pPr>
      <w:r>
        <w:rPr>
          <w:rFonts w:hint="eastAsia" w:ascii="方正小标宋_GBK" w:hAnsi="方正小标宋_GBK" w:eastAsia="方正小标宋_GBK" w:cs="方正小标宋_GBK"/>
          <w:i w:val="0"/>
          <w:iCs w:val="0"/>
          <w:caps w:val="0"/>
          <w:color w:val="333333"/>
          <w:spacing w:val="0"/>
          <w:sz w:val="43"/>
          <w:szCs w:val="43"/>
          <w:shd w:val="clear" w:fill="FFFFFF"/>
          <w:lang w:eastAsia="zh-CN"/>
        </w:rPr>
        <w:t>污染源水质在线监测站采购及安装项目</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center"/>
        <w:rPr>
          <w:rFonts w:hint="eastAsia" w:ascii="微软雅黑" w:hAnsi="微软雅黑" w:eastAsia="微软雅黑" w:cs="微软雅黑"/>
          <w:i w:val="0"/>
          <w:iCs w:val="0"/>
          <w:caps w:val="0"/>
          <w:color w:val="333333"/>
          <w:spacing w:val="0"/>
          <w:sz w:val="18"/>
          <w:szCs w:val="18"/>
        </w:rPr>
      </w:pPr>
      <w:r>
        <w:rPr>
          <w:rFonts w:hint="eastAsia" w:ascii="宋体" w:hAnsi="宋体" w:eastAsia="宋体" w:cs="宋体"/>
          <w:i w:val="0"/>
          <w:iCs w:val="0"/>
          <w:caps w:val="0"/>
          <w:color w:val="333333"/>
          <w:spacing w:val="0"/>
          <w:sz w:val="31"/>
          <w:szCs w:val="31"/>
          <w:shd w:val="clear" w:fill="FFFFFF"/>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55" w:lineRule="atLeast"/>
        <w:ind w:right="0"/>
        <w:jc w:val="left"/>
        <w:rPr>
          <w:rFonts w:hint="eastAsia" w:ascii="微软雅黑" w:hAnsi="微软雅黑" w:eastAsia="微软雅黑" w:cs="微软雅黑"/>
          <w:i w:val="0"/>
          <w:iCs w:val="0"/>
          <w:caps w:val="0"/>
          <w:color w:val="333333"/>
          <w:spacing w:val="0"/>
          <w:sz w:val="18"/>
          <w:szCs w:val="18"/>
        </w:rPr>
      </w:pPr>
      <w:r>
        <w:rPr>
          <w:rFonts w:ascii="黑体" w:hAnsi="宋体" w:eastAsia="黑体" w:cs="黑体"/>
          <w:i w:val="0"/>
          <w:iCs w:val="0"/>
          <w:caps w:val="0"/>
          <w:color w:val="333333"/>
          <w:spacing w:val="0"/>
          <w:sz w:val="31"/>
          <w:szCs w:val="31"/>
          <w:shd w:val="clear" w:fill="FFFFFF"/>
        </w:rPr>
        <w:t>一、项目名称</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00"/>
        <w:jc w:val="left"/>
        <w:rPr>
          <w:rFonts w:hint="eastAsia" w:ascii="仿宋_GB2312" w:hAnsi="微软雅黑" w:eastAsia="仿宋_GB2312" w:cs="仿宋_GB2312"/>
          <w:i w:val="0"/>
          <w:iCs w:val="0"/>
          <w:caps w:val="0"/>
          <w:color w:val="333333"/>
          <w:spacing w:val="0"/>
          <w:sz w:val="31"/>
          <w:szCs w:val="31"/>
          <w:shd w:val="clear" w:fill="FFFFFF"/>
          <w:lang w:eastAsia="zh-CN"/>
        </w:rPr>
      </w:pPr>
      <w:r>
        <w:rPr>
          <w:rFonts w:ascii="仿宋_GB2312" w:hAnsi="微软雅黑" w:eastAsia="仿宋_GB2312" w:cs="仿宋_GB2312"/>
          <w:i w:val="0"/>
          <w:iCs w:val="0"/>
          <w:caps w:val="0"/>
          <w:color w:val="333333"/>
          <w:spacing w:val="0"/>
          <w:sz w:val="31"/>
          <w:szCs w:val="31"/>
          <w:shd w:val="clear" w:fill="FFFFFF"/>
        </w:rPr>
        <w:t>福建中晶科技有限公司</w:t>
      </w:r>
      <w:r>
        <w:rPr>
          <w:rFonts w:hint="eastAsia" w:ascii="仿宋_GB2312" w:hAnsi="微软雅黑" w:eastAsia="仿宋_GB2312" w:cs="仿宋_GB2312"/>
          <w:i w:val="0"/>
          <w:iCs w:val="0"/>
          <w:caps w:val="0"/>
          <w:color w:val="333333"/>
          <w:spacing w:val="0"/>
          <w:sz w:val="31"/>
          <w:szCs w:val="31"/>
          <w:shd w:val="clear" w:fill="FFFFFF"/>
          <w:lang w:eastAsia="zh-CN"/>
        </w:rPr>
        <w:t>污染源水质在线监测站采购及安装项目</w:t>
      </w:r>
      <w:r>
        <w:rPr>
          <w:rFonts w:hint="default" w:ascii="仿宋_GB2312" w:hAnsi="微软雅黑" w:eastAsia="仿宋_GB2312" w:cs="仿宋_GB2312"/>
          <w:i w:val="0"/>
          <w:iCs w:val="0"/>
          <w:caps w:val="0"/>
          <w:color w:val="333333"/>
          <w:spacing w:val="0"/>
          <w:sz w:val="31"/>
          <w:szCs w:val="31"/>
          <w:shd w:val="clear" w:fill="FFFFFF"/>
          <w:lang w:eastAsia="zh-CN"/>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55" w:lineRule="atLeast"/>
        <w:ind w:right="0"/>
        <w:jc w:val="left"/>
        <w:rPr>
          <w:rFonts w:hint="eastAsia" w:ascii="微软雅黑" w:hAnsi="微软雅黑" w:eastAsia="微软雅黑" w:cs="微软雅黑"/>
          <w:i w:val="0"/>
          <w:iCs w:val="0"/>
          <w:caps w:val="0"/>
          <w:color w:val="333333"/>
          <w:spacing w:val="0"/>
          <w:sz w:val="18"/>
          <w:szCs w:val="18"/>
        </w:rPr>
      </w:pPr>
      <w:r>
        <w:rPr>
          <w:rFonts w:hint="eastAsia" w:ascii="黑体" w:hAnsi="宋体" w:eastAsia="黑体" w:cs="黑体"/>
          <w:i w:val="0"/>
          <w:iCs w:val="0"/>
          <w:caps w:val="0"/>
          <w:color w:val="333333"/>
          <w:spacing w:val="0"/>
          <w:sz w:val="31"/>
          <w:szCs w:val="31"/>
          <w:shd w:val="clear" w:fill="FFFFFF"/>
        </w:rPr>
        <w:t>二、项目技术要求</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55" w:lineRule="atLeast"/>
        <w:ind w:left="600" w:right="0" w:firstLine="0"/>
        <w:jc w:val="left"/>
        <w:rPr>
          <w:rFonts w:hint="eastAsia" w:ascii="微软雅黑" w:hAnsi="微软雅黑" w:eastAsia="微软雅黑" w:cs="微软雅黑"/>
          <w:i w:val="0"/>
          <w:iCs w:val="0"/>
          <w:caps w:val="0"/>
          <w:color w:val="333333"/>
          <w:spacing w:val="0"/>
          <w:sz w:val="18"/>
          <w:szCs w:val="18"/>
        </w:rPr>
      </w:pPr>
      <w:r>
        <w:rPr>
          <w:rFonts w:hint="eastAsia" w:ascii="宋体" w:hAnsi="宋体" w:eastAsia="宋体" w:cs="宋体"/>
          <w:i w:val="0"/>
          <w:iCs w:val="0"/>
          <w:caps w:val="0"/>
          <w:color w:val="333333"/>
          <w:spacing w:val="0"/>
          <w:sz w:val="31"/>
          <w:szCs w:val="31"/>
          <w:shd w:val="clear" w:fill="FFFFFF"/>
        </w:rPr>
        <w:t> </w:t>
      </w:r>
      <w:r>
        <w:rPr>
          <w:rFonts w:hint="eastAsia" w:ascii="黑体" w:hAnsi="宋体" w:eastAsia="黑体" w:cs="黑体"/>
          <w:i w:val="0"/>
          <w:iCs w:val="0"/>
          <w:caps w:val="0"/>
          <w:color w:val="333333"/>
          <w:spacing w:val="0"/>
          <w:sz w:val="31"/>
          <w:szCs w:val="31"/>
          <w:shd w:val="clear" w:fill="FFFFFF"/>
        </w:rPr>
        <w:t>见附件1 </w:t>
      </w:r>
      <w:r>
        <w:rPr>
          <w:rFonts w:hint="eastAsia" w:ascii="宋体" w:hAnsi="宋体" w:eastAsia="宋体" w:cs="宋体"/>
          <w:i w:val="0"/>
          <w:iCs w:val="0"/>
          <w:caps w:val="0"/>
          <w:color w:val="333333"/>
          <w:spacing w:val="0"/>
          <w:sz w:val="31"/>
          <w:szCs w:val="31"/>
          <w:shd w:val="clear" w:fill="FFFFFF"/>
        </w:rPr>
        <w:t>  </w:t>
      </w:r>
      <w:r>
        <w:rPr>
          <w:rFonts w:ascii="仿宋" w:hAnsi="仿宋" w:eastAsia="仿宋" w:cs="仿宋"/>
          <w:i w:val="0"/>
          <w:iCs w:val="0"/>
          <w:caps w:val="0"/>
          <w:color w:val="333333"/>
          <w:spacing w:val="0"/>
          <w:sz w:val="30"/>
          <w:szCs w:val="30"/>
          <w:shd w:val="clear" w:fill="FFFFFF"/>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55" w:lineRule="atLeast"/>
        <w:ind w:right="0"/>
        <w:jc w:val="left"/>
        <w:rPr>
          <w:rFonts w:hint="eastAsia" w:ascii="微软雅黑" w:hAnsi="微软雅黑" w:eastAsia="微软雅黑" w:cs="微软雅黑"/>
          <w:i w:val="0"/>
          <w:iCs w:val="0"/>
          <w:caps w:val="0"/>
          <w:color w:val="333333"/>
          <w:spacing w:val="0"/>
          <w:sz w:val="18"/>
          <w:szCs w:val="18"/>
        </w:rPr>
      </w:pPr>
      <w:r>
        <w:rPr>
          <w:rFonts w:hint="eastAsia" w:ascii="黑体" w:hAnsi="宋体" w:eastAsia="黑体" w:cs="黑体"/>
          <w:i w:val="0"/>
          <w:iCs w:val="0"/>
          <w:caps w:val="0"/>
          <w:color w:val="333333"/>
          <w:spacing w:val="0"/>
          <w:sz w:val="31"/>
          <w:szCs w:val="31"/>
          <w:shd w:val="clear" w:fill="FFFFFF"/>
        </w:rPr>
        <w:t>三、投标有关事项及要求： </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00"/>
        <w:jc w:val="left"/>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1.必须响应技术要求（附件1）及售后服务承诺。</w:t>
      </w:r>
      <w:r>
        <w:rPr>
          <w:rFonts w:hint="eastAsia" w:ascii="微软雅黑" w:hAnsi="微软雅黑" w:eastAsia="微软雅黑" w:cs="微软雅黑"/>
          <w:i w:val="0"/>
          <w:iCs w:val="0"/>
          <w:caps w:val="0"/>
          <w:color w:val="333333"/>
          <w:spacing w:val="0"/>
          <w:sz w:val="18"/>
          <w:szCs w:val="18"/>
          <w:shd w:val="clear" w:fill="FFFFFF"/>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00"/>
        <w:jc w:val="left"/>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2.本次招标范围（采购范围）包括设备的供应、运输、安装、调试、</w:t>
      </w:r>
      <w:r>
        <w:rPr>
          <w:rFonts w:hint="eastAsia" w:ascii="仿宋_GB2312" w:hAnsi="微软雅黑" w:eastAsia="仿宋_GB2312" w:cs="仿宋_GB2312"/>
          <w:i w:val="0"/>
          <w:iCs w:val="0"/>
          <w:caps w:val="0"/>
          <w:color w:val="333333"/>
          <w:spacing w:val="0"/>
          <w:sz w:val="31"/>
          <w:szCs w:val="31"/>
          <w:shd w:val="clear" w:fill="FFFFFF"/>
          <w:lang w:eastAsia="zh-CN"/>
        </w:rPr>
        <w:t>比对验收、</w:t>
      </w:r>
      <w:bookmarkStart w:id="0" w:name="_Toc241247607"/>
      <w:bookmarkStart w:id="1" w:name="_Toc238350739"/>
      <w:bookmarkStart w:id="2" w:name="_Toc237963816"/>
      <w:bookmarkStart w:id="3" w:name="_Toc143096324"/>
      <w:r>
        <w:rPr>
          <w:rFonts w:hint="eastAsia" w:ascii="仿宋_GB2312" w:hAnsi="微软雅黑" w:eastAsia="仿宋_GB2312" w:cs="仿宋_GB2312"/>
          <w:i w:val="0"/>
          <w:iCs w:val="0"/>
          <w:caps w:val="0"/>
          <w:color w:val="333333"/>
          <w:spacing w:val="0"/>
          <w:sz w:val="31"/>
          <w:szCs w:val="31"/>
          <w:shd w:val="clear" w:fill="FFFFFF"/>
          <w:lang w:eastAsia="zh-CN"/>
        </w:rPr>
        <w:t>监测站房</w:t>
      </w:r>
      <w:bookmarkEnd w:id="0"/>
      <w:bookmarkEnd w:id="1"/>
      <w:bookmarkEnd w:id="2"/>
      <w:r>
        <w:rPr>
          <w:rFonts w:hint="eastAsia" w:ascii="仿宋_GB2312" w:hAnsi="微软雅黑" w:eastAsia="仿宋_GB2312" w:cs="仿宋_GB2312"/>
          <w:i w:val="0"/>
          <w:iCs w:val="0"/>
          <w:caps w:val="0"/>
          <w:color w:val="333333"/>
          <w:spacing w:val="0"/>
          <w:sz w:val="31"/>
          <w:szCs w:val="31"/>
          <w:shd w:val="clear" w:fill="FFFFFF"/>
          <w:lang w:eastAsia="zh-CN"/>
        </w:rPr>
        <w:t>建设</w:t>
      </w:r>
      <w:bookmarkEnd w:id="3"/>
      <w:r>
        <w:rPr>
          <w:rFonts w:hint="eastAsia" w:ascii="仿宋_GB2312" w:hAnsi="微软雅黑" w:eastAsia="仿宋_GB2312" w:cs="仿宋_GB2312"/>
          <w:i w:val="0"/>
          <w:iCs w:val="0"/>
          <w:caps w:val="0"/>
          <w:color w:val="333333"/>
          <w:spacing w:val="0"/>
          <w:sz w:val="31"/>
          <w:szCs w:val="31"/>
          <w:shd w:val="clear" w:fill="FFFFFF"/>
          <w:lang w:eastAsia="zh-CN"/>
        </w:rPr>
        <w:t>、</w:t>
      </w:r>
      <w:r>
        <w:rPr>
          <w:rFonts w:hint="default" w:ascii="仿宋_GB2312" w:hAnsi="微软雅黑" w:eastAsia="仿宋_GB2312" w:cs="仿宋_GB2312"/>
          <w:i w:val="0"/>
          <w:iCs w:val="0"/>
          <w:caps w:val="0"/>
          <w:color w:val="333333"/>
          <w:spacing w:val="0"/>
          <w:sz w:val="31"/>
          <w:szCs w:val="31"/>
          <w:shd w:val="clear" w:fill="FFFFFF"/>
        </w:rPr>
        <w:t>培训及售后服务。</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00"/>
        <w:jc w:val="left"/>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3.采购的</w:t>
      </w:r>
      <w:r>
        <w:rPr>
          <w:rFonts w:hint="eastAsia" w:ascii="仿宋_GB2312" w:hAnsi="微软雅黑" w:eastAsia="仿宋_GB2312" w:cs="仿宋_GB2312"/>
          <w:i w:val="0"/>
          <w:iCs w:val="0"/>
          <w:caps w:val="0"/>
          <w:color w:val="333333"/>
          <w:spacing w:val="0"/>
          <w:sz w:val="31"/>
          <w:szCs w:val="31"/>
          <w:shd w:val="clear" w:fill="FFFFFF"/>
          <w:lang w:eastAsia="zh-CN"/>
        </w:rPr>
        <w:t>项目</w:t>
      </w:r>
      <w:r>
        <w:rPr>
          <w:rFonts w:hint="default" w:ascii="仿宋_GB2312" w:hAnsi="微软雅黑" w:eastAsia="仿宋_GB2312" w:cs="仿宋_GB2312"/>
          <w:i w:val="0"/>
          <w:iCs w:val="0"/>
          <w:caps w:val="0"/>
          <w:color w:val="333333"/>
          <w:spacing w:val="0"/>
          <w:sz w:val="31"/>
          <w:szCs w:val="31"/>
          <w:shd w:val="clear" w:fill="FFFFFF"/>
        </w:rPr>
        <w:t>（</w:t>
      </w:r>
      <w:r>
        <w:rPr>
          <w:rFonts w:hint="eastAsia" w:ascii="仿宋_GB2312" w:hAnsi="微软雅黑" w:eastAsia="仿宋_GB2312" w:cs="仿宋_GB2312"/>
          <w:i w:val="0"/>
          <w:iCs w:val="0"/>
          <w:caps w:val="0"/>
          <w:color w:val="333333"/>
          <w:spacing w:val="0"/>
          <w:sz w:val="31"/>
          <w:szCs w:val="31"/>
          <w:shd w:val="clear" w:fill="FFFFFF"/>
          <w:lang w:eastAsia="zh-CN"/>
        </w:rPr>
        <w:t>污染源水质在线监测站</w:t>
      </w:r>
      <w:r>
        <w:rPr>
          <w:rFonts w:hint="default" w:ascii="仿宋_GB2312" w:hAnsi="微软雅黑" w:eastAsia="仿宋_GB2312" w:cs="仿宋_GB2312"/>
          <w:i w:val="0"/>
          <w:iCs w:val="0"/>
          <w:caps w:val="0"/>
          <w:color w:val="333333"/>
          <w:spacing w:val="0"/>
          <w:sz w:val="31"/>
          <w:szCs w:val="31"/>
          <w:shd w:val="clear" w:fill="FFFFFF"/>
        </w:rPr>
        <w:t>）应在合同签订后</w:t>
      </w:r>
      <w:r>
        <w:rPr>
          <w:rFonts w:hint="eastAsia" w:ascii="仿宋_GB2312" w:hAnsi="微软雅黑" w:eastAsia="仿宋_GB2312" w:cs="仿宋_GB2312"/>
          <w:i w:val="0"/>
          <w:iCs w:val="0"/>
          <w:caps w:val="0"/>
          <w:color w:val="333333"/>
          <w:spacing w:val="0"/>
          <w:sz w:val="31"/>
          <w:szCs w:val="31"/>
          <w:shd w:val="clear" w:fill="FFFFFF"/>
          <w:lang w:val="en-US" w:eastAsia="zh-CN"/>
        </w:rPr>
        <w:t>15</w:t>
      </w:r>
      <w:r>
        <w:rPr>
          <w:rFonts w:hint="default" w:ascii="仿宋_GB2312" w:hAnsi="微软雅黑" w:eastAsia="仿宋_GB2312" w:cs="仿宋_GB2312"/>
          <w:i w:val="0"/>
          <w:iCs w:val="0"/>
          <w:caps w:val="0"/>
          <w:color w:val="333333"/>
          <w:spacing w:val="0"/>
          <w:sz w:val="31"/>
          <w:szCs w:val="31"/>
          <w:shd w:val="clear" w:fill="FFFFFF"/>
        </w:rPr>
        <w:t>天内（含</w:t>
      </w:r>
      <w:r>
        <w:rPr>
          <w:rFonts w:hint="eastAsia" w:ascii="仿宋_GB2312" w:hAnsi="微软雅黑" w:eastAsia="仿宋_GB2312" w:cs="仿宋_GB2312"/>
          <w:i w:val="0"/>
          <w:iCs w:val="0"/>
          <w:caps w:val="0"/>
          <w:color w:val="333333"/>
          <w:spacing w:val="0"/>
          <w:sz w:val="31"/>
          <w:szCs w:val="31"/>
          <w:shd w:val="clear" w:fill="FFFFFF"/>
          <w:lang w:val="en-US" w:eastAsia="zh-CN"/>
        </w:rPr>
        <w:t>15</w:t>
      </w:r>
      <w:r>
        <w:rPr>
          <w:rFonts w:hint="default" w:ascii="仿宋_GB2312" w:hAnsi="微软雅黑" w:eastAsia="仿宋_GB2312" w:cs="仿宋_GB2312"/>
          <w:i w:val="0"/>
          <w:iCs w:val="0"/>
          <w:caps w:val="0"/>
          <w:color w:val="333333"/>
          <w:spacing w:val="0"/>
          <w:sz w:val="31"/>
          <w:szCs w:val="31"/>
          <w:shd w:val="clear" w:fill="FFFFFF"/>
        </w:rPr>
        <w:t>天）</w:t>
      </w:r>
      <w:r>
        <w:rPr>
          <w:rFonts w:hint="eastAsia" w:ascii="仿宋_GB2312" w:hAnsi="微软雅黑" w:eastAsia="仿宋_GB2312" w:cs="仿宋_GB2312"/>
          <w:i w:val="0"/>
          <w:iCs w:val="0"/>
          <w:caps w:val="0"/>
          <w:color w:val="333333"/>
          <w:spacing w:val="0"/>
          <w:sz w:val="31"/>
          <w:szCs w:val="31"/>
          <w:shd w:val="clear" w:fill="FFFFFF"/>
          <w:lang w:eastAsia="zh-CN"/>
        </w:rPr>
        <w:t>设备到现场安装</w:t>
      </w:r>
      <w:r>
        <w:rPr>
          <w:rFonts w:hint="default" w:ascii="仿宋_GB2312" w:hAnsi="微软雅黑" w:eastAsia="仿宋_GB2312" w:cs="仿宋_GB2312"/>
          <w:i w:val="0"/>
          <w:iCs w:val="0"/>
          <w:caps w:val="0"/>
          <w:color w:val="333333"/>
          <w:spacing w:val="0"/>
          <w:sz w:val="31"/>
          <w:szCs w:val="31"/>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00"/>
        <w:jc w:val="left"/>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4.投标人如果完全响应上述第三项第1、2、3点要求，请提供技术要求及售后服务书（附件1）和报价函（附件2）的盖章原件（原件请密封并在密封袋上加盖投标人公章）。</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5.当有下列情况之一发生时，将依废标处理：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left"/>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       5.1报价函有涂改的；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645"/>
        <w:jc w:val="left"/>
        <w:rPr>
          <w:rFonts w:hint="default" w:ascii="仿宋_GB2312" w:hAnsi="微软雅黑" w:eastAsia="仿宋_GB2312" w:cs="仿宋_GB2312"/>
          <w:i w:val="0"/>
          <w:iCs w:val="0"/>
          <w:caps w:val="0"/>
          <w:color w:val="333333"/>
          <w:spacing w:val="0"/>
          <w:sz w:val="31"/>
          <w:szCs w:val="31"/>
          <w:shd w:val="clear" w:fill="FFFFFF"/>
        </w:rPr>
      </w:pPr>
      <w:r>
        <w:rPr>
          <w:rFonts w:hint="default" w:ascii="仿宋_GB2312" w:hAnsi="微软雅黑" w:eastAsia="仿宋_GB2312" w:cs="仿宋_GB2312"/>
          <w:i w:val="0"/>
          <w:iCs w:val="0"/>
          <w:caps w:val="0"/>
          <w:color w:val="333333"/>
          <w:spacing w:val="0"/>
          <w:sz w:val="31"/>
          <w:szCs w:val="31"/>
          <w:shd w:val="clear" w:fill="FFFFFF"/>
        </w:rPr>
        <w:t>5.2</w:t>
      </w:r>
      <w:r>
        <w:rPr>
          <w:rFonts w:ascii="微软雅黑" w:hAnsi="微软雅黑" w:eastAsia="微软雅黑" w:cs="微软雅黑"/>
          <w:i w:val="0"/>
          <w:iCs w:val="0"/>
          <w:caps w:val="0"/>
          <w:color w:val="333333"/>
          <w:spacing w:val="0"/>
          <w:sz w:val="31"/>
          <w:szCs w:val="31"/>
          <w:shd w:val="clear" w:fill="FFFFFF"/>
        </w:rPr>
        <w:t> </w:t>
      </w:r>
      <w:r>
        <w:rPr>
          <w:rFonts w:hint="default" w:ascii="仿宋_GB2312" w:hAnsi="微软雅黑" w:eastAsia="仿宋_GB2312" w:cs="仿宋_GB2312"/>
          <w:i w:val="0"/>
          <w:iCs w:val="0"/>
          <w:caps w:val="0"/>
          <w:color w:val="333333"/>
          <w:spacing w:val="0"/>
          <w:sz w:val="31"/>
          <w:szCs w:val="31"/>
          <w:shd w:val="clear" w:fill="FFFFFF"/>
        </w:rPr>
        <w:t>投标人不足三家的；</w:t>
      </w:r>
    </w:p>
    <w:p>
      <w:pPr>
        <w:pStyle w:val="7"/>
        <w:keepNext w:val="0"/>
        <w:keepLines w:val="0"/>
        <w:pageBreakBefore w:val="0"/>
        <w:widowControl w:val="0"/>
        <w:shd w:val="clear" w:color="auto" w:fill="FFFFFF"/>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jc w:val="both"/>
        <w:textAlignment w:val="auto"/>
        <w:rPr>
          <w:rFonts w:hint="default" w:ascii="仿宋_GB2312" w:hAnsi="微软雅黑" w:eastAsia="仿宋_GB2312" w:cs="仿宋_GB2312"/>
          <w:i w:val="0"/>
          <w:iCs w:val="0"/>
          <w:caps w:val="0"/>
          <w:color w:val="333333"/>
          <w:spacing w:val="0"/>
          <w:sz w:val="31"/>
          <w:szCs w:val="31"/>
          <w:shd w:val="clear" w:fill="FFFFFF"/>
        </w:rPr>
      </w:pPr>
      <w:r>
        <w:rPr>
          <w:rFonts w:hint="eastAsia" w:ascii="仿宋" w:hAnsi="仿宋" w:eastAsia="仿宋" w:cs="仿宋"/>
          <w:color w:val="000000"/>
          <w:sz w:val="32"/>
          <w:szCs w:val="32"/>
          <w:shd w:val="clear" w:color="auto" w:fill="FFFFFF"/>
          <w:lang w:val="en-US" w:eastAsia="zh-CN"/>
        </w:rPr>
        <w:t>5.3</w:t>
      </w:r>
      <w:r>
        <w:rPr>
          <w:rFonts w:hint="eastAsia" w:ascii="仿宋_GB2312" w:hAnsi="微软雅黑" w:eastAsia="仿宋_GB2312" w:cs="仿宋_GB2312"/>
          <w:i w:val="0"/>
          <w:iCs w:val="0"/>
          <w:caps w:val="0"/>
          <w:color w:val="333333"/>
          <w:spacing w:val="0"/>
          <w:sz w:val="31"/>
          <w:szCs w:val="31"/>
          <w:shd w:val="clear" w:fill="FFFFFF"/>
          <w:lang w:eastAsia="zh-CN"/>
        </w:rPr>
        <w:t>本次招标报价控制价为</w:t>
      </w:r>
      <w:r>
        <w:rPr>
          <w:rFonts w:hint="eastAsia" w:ascii="仿宋_GB2312" w:hAnsi="微软雅黑" w:eastAsia="仿宋_GB2312" w:cs="仿宋_GB2312"/>
          <w:i w:val="0"/>
          <w:iCs w:val="0"/>
          <w:caps w:val="0"/>
          <w:color w:val="333333"/>
          <w:spacing w:val="0"/>
          <w:sz w:val="31"/>
          <w:szCs w:val="31"/>
          <w:shd w:val="clear" w:fill="FFFFFF"/>
          <w:lang w:val="en-US" w:eastAsia="zh-CN"/>
        </w:rPr>
        <w:t>20万元以内（不含20万元），在此报价区域外的报价为无效报价，作废标处理。</w:t>
      </w:r>
    </w:p>
    <w:p>
      <w:pPr>
        <w:keepNext w:val="0"/>
        <w:keepLines w:val="0"/>
        <w:widowControl/>
        <w:suppressLineNumbers w:val="0"/>
        <w:jc w:val="left"/>
        <w:rPr>
          <w:rFonts w:hint="default" w:ascii="黑体" w:hAnsi="宋体" w:eastAsia="黑体" w:cs="黑体"/>
          <w:i w:val="0"/>
          <w:iCs w:val="0"/>
          <w:caps w:val="0"/>
          <w:color w:val="333333"/>
          <w:spacing w:val="0"/>
          <w:kern w:val="0"/>
          <w:sz w:val="31"/>
          <w:szCs w:val="31"/>
          <w:shd w:val="clear" w:fill="FFFFFF"/>
          <w:lang w:val="en-US" w:eastAsia="zh-CN" w:bidi="ar"/>
        </w:rPr>
      </w:pPr>
      <w:r>
        <w:rPr>
          <w:rFonts w:hint="eastAsia" w:ascii="黑体" w:hAnsi="宋体" w:eastAsia="黑体" w:cs="黑体"/>
          <w:i w:val="0"/>
          <w:iCs w:val="0"/>
          <w:caps w:val="0"/>
          <w:color w:val="333333"/>
          <w:spacing w:val="0"/>
          <w:kern w:val="0"/>
          <w:sz w:val="31"/>
          <w:szCs w:val="31"/>
          <w:shd w:val="clear" w:fill="FFFFFF"/>
          <w:lang w:val="en-US" w:eastAsia="zh-CN" w:bidi="ar"/>
        </w:rPr>
        <w:t xml:space="preserve">四、投标人资质要求 </w:t>
      </w:r>
    </w:p>
    <w:p>
      <w:pPr>
        <w:keepNext w:val="0"/>
        <w:keepLines w:val="0"/>
        <w:widowControl/>
        <w:suppressLineNumbers w:val="0"/>
        <w:jc w:val="left"/>
        <w:rPr>
          <w:rFonts w:hint="default"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 xml:space="preserve">1、投标单位必须是具有水质污染物监测及检测仪器仪表销售合法资格的企业。 </w:t>
      </w:r>
    </w:p>
    <w:p>
      <w:pPr>
        <w:keepNext w:val="0"/>
        <w:keepLines w:val="0"/>
        <w:widowControl/>
        <w:suppressLineNumbers w:val="0"/>
        <w:jc w:val="left"/>
        <w:rPr>
          <w:rFonts w:hint="default"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2、投标单位必须在 2023 年 09月 28 日</w:t>
      </w:r>
      <w:r>
        <w:rPr>
          <w:rFonts w:hint="eastAsia" w:ascii="仿宋_GB2312" w:hAnsi="微软雅黑" w:eastAsia="仿宋_GB2312" w:cs="仿宋_GB2312"/>
          <w:i w:val="0"/>
          <w:iCs w:val="0"/>
          <w:caps w:val="0"/>
          <w:color w:val="333333"/>
          <w:spacing w:val="0"/>
          <w:sz w:val="31"/>
          <w:szCs w:val="31"/>
          <w:shd w:val="clear" w:fill="FFFFFF"/>
          <w:lang w:val="en-US" w:eastAsia="zh-CN"/>
        </w:rPr>
        <w:t>12</w:t>
      </w:r>
      <w:r>
        <w:rPr>
          <w:rFonts w:hint="default" w:ascii="仿宋_GB2312" w:hAnsi="微软雅黑" w:eastAsia="仿宋_GB2312" w:cs="仿宋_GB2312"/>
          <w:i w:val="0"/>
          <w:iCs w:val="0"/>
          <w:caps w:val="0"/>
          <w:color w:val="333333"/>
          <w:spacing w:val="0"/>
          <w:sz w:val="31"/>
          <w:szCs w:val="31"/>
          <w:shd w:val="clear" w:fill="FFFFFF"/>
        </w:rPr>
        <w:t>:00</w:t>
      </w: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 xml:space="preserve"> 之前将加盖公章封印好的投标书送达投标书接收人(含邮寄)， 逾期送达的视为自动放弃，投标书没有按照规范封印好的视为无效标。 </w:t>
      </w:r>
    </w:p>
    <w:p>
      <w:pPr>
        <w:keepNext w:val="0"/>
        <w:keepLines w:val="0"/>
        <w:widowControl/>
        <w:suppressLineNumbers w:val="0"/>
        <w:jc w:val="left"/>
        <w:rPr>
          <w:rFonts w:hint="default"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 xml:space="preserve">3、投标方必须按照我方提供的技术要求及报价单（详见技术标准、报价单）表格中内容规定填写价格、品牌及产地，不得私自更改，填写后，请务必认真校对投标价，误填、少填、多填造成的损失均由投标方自行负 责。所有封口处加盖公章，我方提供的报价单用 A4 纸打印后可作为标书，标书必须加盖骑缝章，首页加盖公章，否则将视为废标； </w:t>
      </w:r>
    </w:p>
    <w:p>
      <w:pPr>
        <w:keepNext w:val="0"/>
        <w:keepLines w:val="0"/>
        <w:widowControl/>
        <w:suppressLineNumbers w:val="0"/>
        <w:jc w:val="left"/>
        <w:rPr>
          <w:rFonts w:hint="eastAsia"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4、投标方在送投标书时，须将企业营业执照（三证合一）、法人身份证及被授权人身份证等复印件（均加盖有效公章）、同投标文件一起装订寄出。</w:t>
      </w:r>
    </w:p>
    <w:p>
      <w:pPr>
        <w:keepNext w:val="0"/>
        <w:keepLines w:val="0"/>
        <w:widowControl/>
        <w:suppressLineNumbers w:val="0"/>
        <w:jc w:val="left"/>
        <w:rPr>
          <w:rFonts w:hint="default"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 xml:space="preserve">5、投标方务必重视《投标书》的法律严肃性。投标价格（含税到厂价开具相应项目类型的增值税专用发票等）必须在我公司发出的投标报价单（详见投标书附件）用 A4 纸打印成投标清单并填写（可机打）投标含税价格，填写字迹应清晰，不得涂改，不得自行设计投标书；填写人在投标书首页签字并加盖公章，每页盖骑缝章，否则将视为废标； </w:t>
      </w:r>
    </w:p>
    <w:p>
      <w:pPr>
        <w:keepNext w:val="0"/>
        <w:keepLines w:val="0"/>
        <w:widowControl/>
        <w:suppressLineNumbers w:val="0"/>
        <w:jc w:val="left"/>
        <w:rPr>
          <w:rFonts w:hint="default"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 xml:space="preserve">6、特别提醒：填写后，请务必认真校对投标价，误填、少填、多填造成的损失均由投标方自行负责； </w:t>
      </w:r>
    </w:p>
    <w:p>
      <w:pPr>
        <w:keepNext w:val="0"/>
        <w:keepLines w:val="0"/>
        <w:widowControl/>
        <w:suppressLineNumbers w:val="0"/>
        <w:jc w:val="left"/>
        <w:rPr>
          <w:rFonts w:hint="default"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 xml:space="preserve">7、投标书必须装入 A4大小的文件袋，文件袋封面和快递文件袋封面注明投标公司名称及投标项目名称，标书不得折叠，所有文件封口处均粘贴封条并加盖公章，否则将视为废标。 </w:t>
      </w:r>
    </w:p>
    <w:p>
      <w:pPr>
        <w:keepNext w:val="0"/>
        <w:keepLines w:val="0"/>
        <w:widowControl/>
        <w:suppressLineNumbers w:val="0"/>
        <w:jc w:val="left"/>
        <w:rPr>
          <w:rFonts w:hint="default"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8、重要：由于招标项目集中，请务必按上述要求填写，便于我部区分投标项目，如无法区分标包视作废标处理。</w:t>
      </w:r>
    </w:p>
    <w:p>
      <w:pPr>
        <w:keepNext w:val="0"/>
        <w:keepLines w:val="0"/>
        <w:widowControl/>
        <w:suppressLineNumbers w:val="0"/>
        <w:jc w:val="left"/>
        <w:rPr>
          <w:rFonts w:hint="eastAsia" w:ascii="黑体" w:hAnsi="宋体" w:eastAsia="黑体" w:cs="黑体"/>
          <w:i w:val="0"/>
          <w:iCs w:val="0"/>
          <w:caps w:val="0"/>
          <w:color w:val="333333"/>
          <w:spacing w:val="0"/>
          <w:kern w:val="0"/>
          <w:sz w:val="31"/>
          <w:szCs w:val="31"/>
          <w:shd w:val="clear" w:fill="FFFFFF"/>
          <w:lang w:val="en-US" w:eastAsia="zh-CN" w:bidi="ar"/>
        </w:rPr>
      </w:pPr>
      <w:r>
        <w:rPr>
          <w:rFonts w:hint="eastAsia" w:ascii="黑体" w:hAnsi="宋体" w:eastAsia="黑体" w:cs="黑体"/>
          <w:i w:val="0"/>
          <w:iCs w:val="0"/>
          <w:caps w:val="0"/>
          <w:color w:val="333333"/>
          <w:spacing w:val="0"/>
          <w:kern w:val="0"/>
          <w:sz w:val="31"/>
          <w:szCs w:val="31"/>
          <w:shd w:val="clear" w:fill="FFFFFF"/>
          <w:lang w:val="en-US" w:eastAsia="zh-CN" w:bidi="ar"/>
        </w:rPr>
        <w:t xml:space="preserve">五、支付方式 </w:t>
      </w:r>
    </w:p>
    <w:p>
      <w:pPr>
        <w:keepNext w:val="0"/>
        <w:keepLines w:val="0"/>
        <w:widowControl/>
        <w:suppressLineNumbers w:val="0"/>
        <w:jc w:val="left"/>
        <w:rPr>
          <w:rFonts w:hint="eastAsia"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 xml:space="preserve">1、合同签订后7个工作日内，招标方向中标方预付设备总金额30%货款（现汇支付或银行承兑汇票）。 </w:t>
      </w:r>
    </w:p>
    <w:p>
      <w:pPr>
        <w:keepNext w:val="0"/>
        <w:keepLines w:val="0"/>
        <w:widowControl/>
        <w:suppressLineNumbers w:val="0"/>
        <w:jc w:val="left"/>
        <w:rPr>
          <w:rFonts w:hint="eastAsia"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 xml:space="preserve">2、设备制作完成，具备发货条件，中标方书面通知招标方验收。招标方在发货前7个工作日内向中标方预付设备总金额约30%货款（现汇支付或银行承兑汇票）。设备到达招标方工厂，中标方派员到招标方工厂安装、调试并对招标方操作人员进行操作和维修等培训完成。安装调试验收合格后（以双方签署验收报告为准），设备交付招标方使用。 </w:t>
      </w:r>
    </w:p>
    <w:p>
      <w:pPr>
        <w:keepNext w:val="0"/>
        <w:keepLines w:val="0"/>
        <w:widowControl/>
        <w:suppressLineNumbers w:val="0"/>
        <w:jc w:val="left"/>
        <w:rPr>
          <w:rFonts w:hint="eastAsia"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 xml:space="preserve">3、中标方在招标方公司完成安装、调试完毕经比对验收并签署验收合格单后10个工作日内，同时中标方将全额的相应项目类型增值税专用发票送达到招标方后，支付设备总金额约35%货款（现汇支付或银行承兑汇票）。 </w:t>
      </w:r>
    </w:p>
    <w:p>
      <w:pPr>
        <w:keepNext w:val="0"/>
        <w:keepLines w:val="0"/>
        <w:widowControl/>
        <w:suppressLineNumbers w:val="0"/>
        <w:jc w:val="left"/>
        <w:rPr>
          <w:rFonts w:hint="eastAsia" w:ascii="黑体" w:hAnsi="宋体" w:eastAsia="黑体" w:cs="黑体"/>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4、剩余5%货款作为设备质保金，招标方在设备正常使用（以双方签署验收报告日期起算）满一年后7个工作日内电汇支付给中标方。（如有异议的请在投标书中注明）。</w:t>
      </w:r>
    </w:p>
    <w:p>
      <w:pPr>
        <w:keepNext w:val="0"/>
        <w:keepLines w:val="0"/>
        <w:widowControl/>
        <w:suppressLineNumbers w:val="0"/>
        <w:jc w:val="left"/>
        <w:rPr>
          <w:rFonts w:hint="eastAsia" w:ascii="黑体" w:hAnsi="宋体" w:eastAsia="黑体" w:cs="黑体"/>
          <w:i w:val="0"/>
          <w:iCs w:val="0"/>
          <w:caps w:val="0"/>
          <w:color w:val="333333"/>
          <w:spacing w:val="0"/>
          <w:kern w:val="0"/>
          <w:sz w:val="31"/>
          <w:szCs w:val="31"/>
          <w:shd w:val="clear" w:fill="FFFFFF"/>
          <w:lang w:val="en-US" w:eastAsia="zh-CN" w:bidi="ar"/>
        </w:rPr>
      </w:pPr>
      <w:r>
        <w:rPr>
          <w:rFonts w:hint="eastAsia" w:ascii="黑体" w:hAnsi="宋体" w:eastAsia="黑体" w:cs="黑体"/>
          <w:i w:val="0"/>
          <w:iCs w:val="0"/>
          <w:caps w:val="0"/>
          <w:color w:val="333333"/>
          <w:spacing w:val="0"/>
          <w:kern w:val="0"/>
          <w:sz w:val="31"/>
          <w:szCs w:val="31"/>
          <w:shd w:val="clear" w:fill="FFFFFF"/>
          <w:lang w:val="en-US" w:eastAsia="zh-CN" w:bidi="ar"/>
        </w:rPr>
        <w:t>六、产品质量标准</w:t>
      </w:r>
    </w:p>
    <w:p>
      <w:pPr>
        <w:keepNext w:val="0"/>
        <w:keepLines w:val="0"/>
        <w:widowControl/>
        <w:suppressLineNumbers w:val="0"/>
        <w:ind w:firstLine="620" w:firstLineChars="200"/>
        <w:jc w:val="left"/>
        <w:rPr>
          <w:rFonts w:hint="eastAsia"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1、中标方产品必须符合国家及行业相关标准，在提供中标产品的合作期内若发现有任何假冒产品，我公司有权利按照该批次供货总金额的十倍罚款并取消其供货资格。对中标的各投标方须对中标的标的物的品质实施全权负责制，签订合同含商务和质量保证，对有质量问题的标的物资严格按照质量协议的赔偿条款进行赔偿。</w:t>
      </w:r>
    </w:p>
    <w:p>
      <w:pPr>
        <w:keepNext w:val="0"/>
        <w:keepLines w:val="0"/>
        <w:widowControl/>
        <w:suppressLineNumbers w:val="0"/>
        <w:ind w:firstLine="620" w:firstLineChars="200"/>
        <w:jc w:val="left"/>
        <w:rPr>
          <w:rFonts w:hint="eastAsia"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2、在质保期内均由乙方无条件无偿负责维修。若出现质量问题，除天灾或人为损坏除外，经甲方通知后24小时内必须到场维修，否则乙方承担违约责任，超过48小时未到场，甲方有权委托他人维修，所发生的费用由甲方直接从乙方工程款或保修金中扣除，需得到乙方的确认。</w:t>
      </w:r>
    </w:p>
    <w:p>
      <w:pPr>
        <w:pStyle w:val="7"/>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157" w:afterLines="50" w:afterAutospacing="0" w:line="560" w:lineRule="exact"/>
        <w:textAlignment w:val="auto"/>
        <w:rPr>
          <w:rFonts w:hint="eastAsia" w:ascii="黑体" w:hAnsi="黑体" w:eastAsia="黑体" w:cs="黑体"/>
          <w:b w:val="0"/>
          <w:bCs w:val="0"/>
          <w:color w:val="333333"/>
          <w:sz w:val="32"/>
          <w:szCs w:val="32"/>
          <w:shd w:val="clear" w:color="auto" w:fill="FFFFFF"/>
        </w:rPr>
      </w:pPr>
      <w:r>
        <w:rPr>
          <w:rFonts w:hint="eastAsia" w:ascii="黑体" w:hAnsi="宋体" w:eastAsia="黑体" w:cs="黑体"/>
          <w:i w:val="0"/>
          <w:iCs w:val="0"/>
          <w:caps w:val="0"/>
          <w:color w:val="333333"/>
          <w:spacing w:val="0"/>
          <w:sz w:val="31"/>
          <w:szCs w:val="31"/>
          <w:shd w:val="clear" w:fill="FFFFFF"/>
          <w:lang w:eastAsia="zh-CN"/>
        </w:rPr>
        <w:t>七、</w:t>
      </w:r>
      <w:r>
        <w:rPr>
          <w:rFonts w:hint="eastAsia" w:ascii="黑体" w:hAnsi="黑体" w:eastAsia="黑体" w:cs="黑体"/>
          <w:b w:val="0"/>
          <w:bCs w:val="0"/>
          <w:color w:val="333333"/>
          <w:sz w:val="32"/>
          <w:szCs w:val="32"/>
          <w:shd w:val="clear" w:color="auto" w:fill="FFFFFF"/>
        </w:rPr>
        <w:t>评分标准</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80" w:lineRule="exact"/>
        <w:ind w:firstLine="964" w:firstLineChars="300"/>
        <w:textAlignment w:val="auto"/>
        <w:rPr>
          <w:rFonts w:hint="eastAsia" w:ascii="仿宋" w:hAnsi="仿宋" w:eastAsia="仿宋" w:cs="仿宋"/>
          <w:b/>
          <w:bCs/>
          <w:color w:val="333333"/>
          <w:sz w:val="32"/>
          <w:szCs w:val="32"/>
          <w:shd w:val="clear" w:color="auto" w:fill="FFFFFF"/>
          <w:lang w:eastAsia="zh-CN"/>
        </w:rPr>
      </w:pPr>
      <w:r>
        <w:rPr>
          <w:rFonts w:hint="eastAsia" w:ascii="仿宋" w:hAnsi="仿宋" w:eastAsia="仿宋" w:cs="仿宋"/>
          <w:b/>
          <w:bCs/>
          <w:color w:val="333333"/>
          <w:sz w:val="32"/>
          <w:szCs w:val="32"/>
          <w:shd w:val="clear" w:color="auto" w:fill="FFFFFF"/>
        </w:rPr>
        <w:t>评标</w:t>
      </w:r>
      <w:r>
        <w:rPr>
          <w:rFonts w:hint="eastAsia" w:ascii="仿宋" w:hAnsi="仿宋" w:eastAsia="仿宋" w:cs="仿宋"/>
          <w:b/>
          <w:bCs/>
          <w:color w:val="333333"/>
          <w:sz w:val="32"/>
          <w:szCs w:val="32"/>
          <w:shd w:val="clear" w:color="auto" w:fill="FFFFFF"/>
          <w:lang w:eastAsia="zh-CN"/>
        </w:rPr>
        <w:t>方式</w:t>
      </w:r>
    </w:p>
    <w:p>
      <w:pPr>
        <w:pStyle w:val="7"/>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60" w:lineRule="exact"/>
        <w:ind w:firstLine="620" w:firstLineChars="200"/>
        <w:textAlignment w:val="auto"/>
        <w:rPr>
          <w:rFonts w:hint="eastAsia"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1、招标单位组织评标人员，采用综合评分法中标方式，即投标文件满足招标文件全部实质性要求，且按照评审因素的量化指标评审得分（即评标总得分）最高的投标人为第一中标候选人。</w:t>
      </w:r>
    </w:p>
    <w:p>
      <w:pPr>
        <w:pStyle w:val="7"/>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60" w:lineRule="exact"/>
        <w:ind w:firstLine="620" w:firstLineChars="200"/>
        <w:textAlignment w:val="auto"/>
        <w:rPr>
          <w:rFonts w:hint="eastAsia"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2、评分构成</w:t>
      </w:r>
    </w:p>
    <w:p>
      <w:pPr>
        <w:pStyle w:val="7"/>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60" w:lineRule="exact"/>
        <w:ind w:firstLine="620" w:firstLineChars="200"/>
        <w:textAlignment w:val="auto"/>
        <w:rPr>
          <w:rFonts w:hint="eastAsia"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（1）价格评价项（满分为40分）</w:t>
      </w:r>
    </w:p>
    <w:p>
      <w:pPr>
        <w:spacing w:line="360" w:lineRule="auto"/>
        <w:ind w:firstLine="620" w:firstLineChars="200"/>
        <w:rPr>
          <w:rFonts w:hint="eastAsia"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以经评委会一致认定满足招标文件要求且投标价格最低的投标报价为评标基准价，其价格得分计40分。其他投标人的价格得分统一按公式计算：</w:t>
      </w:r>
    </w:p>
    <w:p>
      <w:pPr>
        <w:spacing w:line="360" w:lineRule="auto"/>
        <w:rPr>
          <w:rFonts w:hint="default"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投标报价得分=（评标基准价修正或调整／投标报价修正或调整）×40。</w:t>
      </w:r>
    </w:p>
    <w:p>
      <w:pPr>
        <w:pStyle w:val="7"/>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560" w:lineRule="exact"/>
        <w:ind w:firstLine="620" w:firstLineChars="200"/>
        <w:textAlignment w:val="auto"/>
        <w:rPr>
          <w:rFonts w:hint="eastAsia" w:ascii="仿宋" w:hAnsi="仿宋" w:eastAsia="仿宋" w:cs="仿宋"/>
          <w:kern w:val="0"/>
          <w:sz w:val="32"/>
          <w:szCs w:val="32"/>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技术评价项（满分为48分）</w:t>
      </w:r>
    </w:p>
    <w:p>
      <w:pPr>
        <w:pStyle w:val="7"/>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560" w:lineRule="exact"/>
        <w:ind w:firstLine="620" w:firstLineChars="200"/>
        <w:jc w:val="left"/>
        <w:textAlignment w:val="auto"/>
        <w:rPr>
          <w:rFonts w:hint="eastAsia"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商务评价项（12分）</w:t>
      </w:r>
    </w:p>
    <w:p>
      <w:pPr>
        <w:pStyle w:val="7"/>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60" w:lineRule="exact"/>
        <w:ind w:firstLine="620" w:firstLineChars="200"/>
        <w:textAlignment w:val="auto"/>
        <w:rPr>
          <w:rFonts w:hint="eastAsia"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3、有效投标人在3家以下（不含3家）的，本次招标活动作废标处理，招标单位将适时再次组织招标活动。</w:t>
      </w:r>
    </w:p>
    <w:tbl>
      <w:tblPr>
        <w:tblStyle w:val="8"/>
        <w:tblW w:w="8387"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1073"/>
        <w:gridCol w:w="1146"/>
        <w:gridCol w:w="560"/>
        <w:gridCol w:w="5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63" w:type="dxa"/>
            <w:shd w:val="clear" w:color="000000" w:fill="FFFFFF"/>
            <w:vAlign w:val="center"/>
          </w:tcPr>
          <w:p>
            <w:pPr>
              <w:spacing w:line="360" w:lineRule="auto"/>
              <w:jc w:val="center"/>
              <w:rPr>
                <w:rFonts w:ascii="宋体" w:hAnsi="宋体" w:cs="宋体"/>
                <w:b/>
                <w:bCs/>
                <w:szCs w:val="21"/>
              </w:rPr>
            </w:pPr>
            <w:r>
              <w:rPr>
                <w:rFonts w:hint="eastAsia" w:ascii="宋体" w:hAnsi="宋体" w:cs="宋体"/>
                <w:b/>
                <w:bCs/>
                <w:szCs w:val="21"/>
              </w:rPr>
              <w:t>序号</w:t>
            </w:r>
          </w:p>
        </w:tc>
        <w:tc>
          <w:tcPr>
            <w:tcW w:w="1073" w:type="dxa"/>
            <w:shd w:val="clear" w:color="000000" w:fill="FFFFFF"/>
            <w:vAlign w:val="center"/>
          </w:tcPr>
          <w:p>
            <w:pPr>
              <w:spacing w:line="360" w:lineRule="auto"/>
              <w:jc w:val="center"/>
              <w:rPr>
                <w:rFonts w:ascii="宋体" w:hAnsi="宋体" w:cs="宋体"/>
                <w:b/>
                <w:bCs/>
                <w:szCs w:val="21"/>
              </w:rPr>
            </w:pPr>
            <w:r>
              <w:rPr>
                <w:rFonts w:hint="eastAsia" w:ascii="宋体" w:hAnsi="宋体" w:cs="宋体"/>
                <w:b/>
                <w:bCs/>
                <w:szCs w:val="21"/>
              </w:rPr>
              <w:t>评标因素（权重分）</w:t>
            </w:r>
          </w:p>
        </w:tc>
        <w:tc>
          <w:tcPr>
            <w:tcW w:w="6851" w:type="dxa"/>
            <w:gridSpan w:val="3"/>
            <w:shd w:val="clear" w:color="000000" w:fill="FFFFFF"/>
            <w:vAlign w:val="center"/>
          </w:tcPr>
          <w:p>
            <w:pPr>
              <w:spacing w:line="360" w:lineRule="auto"/>
              <w:jc w:val="center"/>
              <w:rPr>
                <w:rFonts w:ascii="宋体" w:hAnsi="宋体" w:cs="宋体"/>
                <w:b/>
                <w:bCs/>
                <w:szCs w:val="21"/>
              </w:rPr>
            </w:pPr>
            <w:r>
              <w:rPr>
                <w:rFonts w:hint="eastAsia" w:ascii="宋体" w:hAnsi="宋体" w:cs="宋体"/>
                <w:b/>
                <w:bCs/>
                <w:szCs w:val="21"/>
              </w:rPr>
              <w:t>评标标准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63" w:type="dxa"/>
            <w:shd w:val="clear" w:color="000000" w:fill="FFFFFF"/>
            <w:vAlign w:val="center"/>
          </w:tcPr>
          <w:p>
            <w:pPr>
              <w:spacing w:line="360" w:lineRule="auto"/>
              <w:jc w:val="center"/>
              <w:rPr>
                <w:rFonts w:ascii="宋体" w:hAnsi="宋体"/>
                <w:szCs w:val="21"/>
              </w:rPr>
            </w:pPr>
            <w:r>
              <w:rPr>
                <w:rFonts w:hint="eastAsia" w:ascii="宋体" w:hAnsi="宋体"/>
                <w:szCs w:val="21"/>
              </w:rPr>
              <w:t>1</w:t>
            </w:r>
          </w:p>
        </w:tc>
        <w:tc>
          <w:tcPr>
            <w:tcW w:w="1073" w:type="dxa"/>
            <w:shd w:val="clear" w:color="000000" w:fill="FFFFFF"/>
            <w:vAlign w:val="center"/>
          </w:tcPr>
          <w:p>
            <w:pPr>
              <w:spacing w:line="360" w:lineRule="auto"/>
              <w:jc w:val="center"/>
              <w:rPr>
                <w:rFonts w:ascii="宋体" w:hAnsi="宋体" w:cs="宋体"/>
                <w:szCs w:val="21"/>
              </w:rPr>
            </w:pPr>
            <w:r>
              <w:rPr>
                <w:rFonts w:hint="eastAsia" w:ascii="宋体" w:hAnsi="宋体" w:cs="宋体"/>
                <w:szCs w:val="21"/>
              </w:rPr>
              <w:t>价格评价项（</w:t>
            </w:r>
            <w:r>
              <w:rPr>
                <w:rFonts w:hint="eastAsia" w:ascii="宋体" w:hAnsi="宋体" w:cs="宋体"/>
                <w:szCs w:val="21"/>
                <w:lang w:val="en-US" w:eastAsia="zh-CN"/>
              </w:rPr>
              <w:t>40</w:t>
            </w:r>
            <w:r>
              <w:rPr>
                <w:rFonts w:hint="eastAsia" w:ascii="宋体" w:hAnsi="宋体" w:cs="宋体"/>
                <w:szCs w:val="21"/>
              </w:rPr>
              <w:t>分）</w:t>
            </w:r>
          </w:p>
        </w:tc>
        <w:tc>
          <w:tcPr>
            <w:tcW w:w="6851" w:type="dxa"/>
            <w:gridSpan w:val="3"/>
            <w:shd w:val="clear" w:color="000000" w:fill="FFFFFF"/>
            <w:vAlign w:val="center"/>
          </w:tcPr>
          <w:p>
            <w:pPr>
              <w:spacing w:line="360" w:lineRule="auto"/>
              <w:rPr>
                <w:rFonts w:ascii="宋体" w:hAnsi="宋体" w:cs="宋体"/>
                <w:szCs w:val="21"/>
              </w:rPr>
            </w:pPr>
            <w:r>
              <w:rPr>
                <w:rFonts w:hint="eastAsia" w:ascii="宋体" w:hAnsi="宋体"/>
                <w:szCs w:val="21"/>
              </w:rPr>
              <w:t>以经评委会一致认定满足招标文件要求且投标价格最低的投标报价为评标基准价，其价格得分计</w:t>
            </w:r>
            <w:r>
              <w:rPr>
                <w:rFonts w:hint="eastAsia" w:ascii="宋体" w:hAnsi="宋体"/>
                <w:szCs w:val="21"/>
                <w:lang w:val="en-US" w:eastAsia="zh-CN"/>
              </w:rPr>
              <w:t>40</w:t>
            </w:r>
            <w:r>
              <w:rPr>
                <w:rFonts w:hint="eastAsia" w:ascii="宋体" w:hAnsi="宋体"/>
                <w:szCs w:val="21"/>
              </w:rPr>
              <w:t>分。其他投标人的价格得分统一按公式计算：</w:t>
            </w:r>
          </w:p>
          <w:p>
            <w:pPr>
              <w:spacing w:line="360" w:lineRule="auto"/>
              <w:rPr>
                <w:rFonts w:ascii="宋体" w:hAnsi="宋体" w:cs="宋体"/>
                <w:szCs w:val="21"/>
              </w:rPr>
            </w:pPr>
            <w:r>
              <w:rPr>
                <w:rFonts w:hint="eastAsia" w:ascii="宋体" w:hAnsi="宋体" w:cs="宋体"/>
                <w:szCs w:val="21"/>
              </w:rPr>
              <w:t>投标报价得分=（评标基准价修正或调整／投标报价修正或调整）×</w:t>
            </w:r>
            <w:r>
              <w:rPr>
                <w:rFonts w:hint="eastAsia" w:ascii="宋体" w:hAnsi="宋体" w:cs="宋体"/>
                <w:szCs w:val="21"/>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36" w:hRule="atLeast"/>
        </w:trPr>
        <w:tc>
          <w:tcPr>
            <w:tcW w:w="463" w:type="dxa"/>
            <w:vMerge w:val="restart"/>
            <w:shd w:val="clear" w:color="000000" w:fill="FFFFFF"/>
            <w:vAlign w:val="center"/>
          </w:tcPr>
          <w:p>
            <w:pPr>
              <w:spacing w:line="360" w:lineRule="auto"/>
              <w:jc w:val="center"/>
              <w:rPr>
                <w:rFonts w:ascii="宋体" w:hAnsi="宋体"/>
                <w:szCs w:val="21"/>
              </w:rPr>
            </w:pPr>
            <w:r>
              <w:rPr>
                <w:rFonts w:hint="eastAsia" w:ascii="宋体" w:hAnsi="宋体"/>
                <w:szCs w:val="21"/>
              </w:rPr>
              <w:t>2</w:t>
            </w:r>
          </w:p>
        </w:tc>
        <w:tc>
          <w:tcPr>
            <w:tcW w:w="1073" w:type="dxa"/>
            <w:vMerge w:val="restart"/>
            <w:shd w:val="clear" w:color="000000" w:fill="FFFFFF"/>
            <w:vAlign w:val="center"/>
          </w:tcPr>
          <w:p>
            <w:pPr>
              <w:spacing w:line="360" w:lineRule="auto"/>
              <w:jc w:val="center"/>
              <w:rPr>
                <w:rFonts w:ascii="宋体" w:hAnsi="宋体" w:cs="宋体"/>
                <w:szCs w:val="21"/>
              </w:rPr>
            </w:pPr>
            <w:r>
              <w:rPr>
                <w:rFonts w:hint="eastAsia" w:ascii="宋体" w:hAnsi="宋体" w:cs="宋体"/>
                <w:szCs w:val="21"/>
              </w:rPr>
              <w:t>技术评价项（</w:t>
            </w:r>
            <w:r>
              <w:rPr>
                <w:rFonts w:hint="eastAsia" w:ascii="宋体" w:hAnsi="宋体" w:cs="宋体"/>
                <w:szCs w:val="21"/>
                <w:lang w:val="en-US" w:eastAsia="zh-CN"/>
              </w:rPr>
              <w:t>48</w:t>
            </w:r>
            <w:r>
              <w:rPr>
                <w:rFonts w:hint="eastAsia" w:ascii="宋体" w:hAnsi="宋体" w:cs="宋体"/>
                <w:szCs w:val="21"/>
              </w:rPr>
              <w:t>分）</w:t>
            </w:r>
          </w:p>
        </w:tc>
        <w:tc>
          <w:tcPr>
            <w:tcW w:w="1146" w:type="dxa"/>
            <w:shd w:val="clear" w:color="000000" w:fill="FFFFFF"/>
            <w:vAlign w:val="center"/>
          </w:tcPr>
          <w:p>
            <w:pPr>
              <w:spacing w:line="360" w:lineRule="auto"/>
              <w:rPr>
                <w:rFonts w:ascii="宋体" w:hAnsi="宋体" w:cs="宋体"/>
                <w:szCs w:val="21"/>
              </w:rPr>
            </w:pPr>
            <w:r>
              <w:rPr>
                <w:rFonts w:hint="eastAsia" w:ascii="宋体" w:hAnsi="宋体" w:cs="宋体"/>
                <w:szCs w:val="21"/>
              </w:rPr>
              <w:t>对招标文件技术要求响应程度</w:t>
            </w:r>
          </w:p>
        </w:tc>
        <w:tc>
          <w:tcPr>
            <w:tcW w:w="560" w:type="dxa"/>
            <w:shd w:val="clear" w:color="000000" w:fill="FFFFFF"/>
            <w:vAlign w:val="center"/>
          </w:tcPr>
          <w:p>
            <w:pPr>
              <w:spacing w:line="360" w:lineRule="auto"/>
              <w:jc w:val="center"/>
              <w:rPr>
                <w:rFonts w:hint="default" w:ascii="宋体" w:hAnsi="宋体" w:eastAsia="宋体" w:cs="宋体"/>
                <w:szCs w:val="21"/>
                <w:lang w:val="en-US" w:eastAsia="zh-CN"/>
              </w:rPr>
            </w:pPr>
            <w:r>
              <w:rPr>
                <w:rFonts w:hint="eastAsia" w:ascii="宋体" w:hAnsi="宋体" w:cs="宋体"/>
                <w:szCs w:val="21"/>
                <w:lang w:val="en-US" w:eastAsia="zh-CN"/>
              </w:rPr>
              <w:t>38</w:t>
            </w:r>
          </w:p>
        </w:tc>
        <w:tc>
          <w:tcPr>
            <w:tcW w:w="5145" w:type="dxa"/>
            <w:shd w:val="clear" w:color="000000" w:fill="FFFFFF"/>
            <w:vAlign w:val="center"/>
          </w:tcPr>
          <w:p>
            <w:pPr>
              <w:adjustRightInd w:val="0"/>
              <w:snapToGrid w:val="0"/>
              <w:spacing w:line="360" w:lineRule="auto"/>
              <w:rPr>
                <w:rFonts w:ascii="宋体" w:hAnsi="宋体" w:cs="宋体"/>
                <w:szCs w:val="21"/>
              </w:rPr>
            </w:pPr>
            <w:r>
              <w:rPr>
                <w:rFonts w:hint="eastAsia" w:ascii="宋体" w:hAnsi="宋体" w:cs="宋体"/>
                <w:szCs w:val="21"/>
              </w:rPr>
              <w:t>投标产品技术性能指标完全满足或优于招标文件要求的，计</w:t>
            </w:r>
            <w:r>
              <w:rPr>
                <w:rFonts w:hint="eastAsia" w:ascii="宋体" w:hAnsi="宋体" w:cs="宋体"/>
                <w:szCs w:val="21"/>
                <w:lang w:val="en-US" w:eastAsia="zh-CN"/>
              </w:rPr>
              <w:t>38</w:t>
            </w:r>
            <w:r>
              <w:rPr>
                <w:rFonts w:hint="eastAsia" w:ascii="宋体" w:hAnsi="宋体" w:cs="宋体"/>
                <w:szCs w:val="21"/>
              </w:rPr>
              <w:t>分；</w:t>
            </w:r>
          </w:p>
          <w:p>
            <w:pPr>
              <w:adjustRightInd w:val="0"/>
              <w:snapToGrid w:val="0"/>
              <w:spacing w:line="360" w:lineRule="auto"/>
              <w:rPr>
                <w:rFonts w:ascii="宋体" w:hAnsi="宋体" w:cs="宋体"/>
                <w:szCs w:val="21"/>
              </w:rPr>
            </w:pPr>
            <w:r>
              <w:rPr>
                <w:rFonts w:hint="eastAsia" w:ascii="宋体" w:hAnsi="宋体" w:cs="宋体"/>
                <w:szCs w:val="21"/>
              </w:rPr>
              <w:t>标记“▲”内容每1项不满足扣</w:t>
            </w:r>
            <w:r>
              <w:rPr>
                <w:rFonts w:hint="eastAsia" w:ascii="宋体" w:hAnsi="宋体" w:cs="宋体"/>
                <w:szCs w:val="21"/>
                <w:lang w:val="en-US" w:eastAsia="zh-CN"/>
              </w:rPr>
              <w:t>4</w:t>
            </w:r>
            <w:r>
              <w:rPr>
                <w:rFonts w:hint="eastAsia" w:ascii="宋体" w:hAnsi="宋体" w:cs="宋体"/>
                <w:szCs w:val="21"/>
              </w:rPr>
              <w:t>分（“▲”为重要技术指标）。配置不详细、技术参数不清、缺漏项的及其它非“▲”技术指标有偏离的每处扣1分，扣完为止。</w:t>
            </w:r>
          </w:p>
          <w:p>
            <w:pPr>
              <w:adjustRightInd w:val="0"/>
              <w:snapToGrid w:val="0"/>
              <w:spacing w:line="360" w:lineRule="auto"/>
              <w:rPr>
                <w:rFonts w:ascii="宋体" w:hAnsi="宋体" w:cs="宋体"/>
                <w:szCs w:val="21"/>
              </w:rPr>
            </w:pPr>
            <w:r>
              <w:rPr>
                <w:rFonts w:hint="eastAsia" w:ascii="宋体" w:hAnsi="宋体" w:cs="宋体"/>
                <w:szCs w:val="21"/>
              </w:rPr>
              <w:t>“▲”需提供省级或以上计量检测机构出具的评价分析报告复印件，未提供不得分。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6" w:hRule="atLeast"/>
        </w:trPr>
        <w:tc>
          <w:tcPr>
            <w:tcW w:w="463" w:type="dxa"/>
            <w:vMerge w:val="continue"/>
            <w:shd w:val="clear" w:color="000000" w:fill="FFFFFF"/>
            <w:vAlign w:val="center"/>
          </w:tcPr>
          <w:p>
            <w:pPr>
              <w:spacing w:line="360" w:lineRule="auto"/>
              <w:jc w:val="center"/>
              <w:rPr>
                <w:rFonts w:ascii="宋体" w:hAnsi="宋体"/>
                <w:szCs w:val="21"/>
              </w:rPr>
            </w:pPr>
          </w:p>
        </w:tc>
        <w:tc>
          <w:tcPr>
            <w:tcW w:w="1073" w:type="dxa"/>
            <w:vMerge w:val="continue"/>
            <w:shd w:val="clear" w:color="000000" w:fill="FFFFFF"/>
            <w:vAlign w:val="center"/>
          </w:tcPr>
          <w:p>
            <w:pPr>
              <w:spacing w:line="360" w:lineRule="auto"/>
              <w:jc w:val="center"/>
              <w:rPr>
                <w:rFonts w:ascii="宋体" w:hAnsi="宋体" w:cs="宋体"/>
                <w:szCs w:val="21"/>
              </w:rPr>
            </w:pPr>
          </w:p>
        </w:tc>
        <w:tc>
          <w:tcPr>
            <w:tcW w:w="1146" w:type="dxa"/>
            <w:shd w:val="clear" w:color="000000" w:fill="FFFFFF"/>
            <w:vAlign w:val="center"/>
          </w:tcPr>
          <w:p>
            <w:pPr>
              <w:spacing w:line="360" w:lineRule="auto"/>
              <w:rPr>
                <w:rFonts w:ascii="宋体" w:hAnsi="宋体" w:cs="宋体"/>
                <w:szCs w:val="21"/>
              </w:rPr>
            </w:pPr>
            <w:r>
              <w:rPr>
                <w:rFonts w:hint="eastAsia" w:ascii="宋体" w:hAnsi="宋体" w:cs="宋体"/>
                <w:szCs w:val="21"/>
              </w:rPr>
              <w:t>产品先进性</w:t>
            </w:r>
          </w:p>
        </w:tc>
        <w:tc>
          <w:tcPr>
            <w:tcW w:w="560" w:type="dxa"/>
            <w:shd w:val="clear" w:color="000000" w:fill="FFFFFF"/>
            <w:vAlign w:val="center"/>
          </w:tcPr>
          <w:p>
            <w:pPr>
              <w:spacing w:line="360" w:lineRule="auto"/>
              <w:jc w:val="center"/>
              <w:rPr>
                <w:rFonts w:hint="eastAsia" w:ascii="宋体" w:hAnsi="宋体" w:eastAsia="宋体" w:cs="宋体"/>
                <w:szCs w:val="21"/>
                <w:lang w:val="en-US" w:eastAsia="zh-CN"/>
              </w:rPr>
            </w:pPr>
            <w:r>
              <w:rPr>
                <w:rFonts w:hint="eastAsia" w:ascii="宋体" w:hAnsi="宋体" w:cs="宋体"/>
                <w:szCs w:val="21"/>
                <w:lang w:val="en-US" w:eastAsia="zh-CN"/>
              </w:rPr>
              <w:t>1</w:t>
            </w:r>
          </w:p>
        </w:tc>
        <w:tc>
          <w:tcPr>
            <w:tcW w:w="5145" w:type="dxa"/>
            <w:shd w:val="clear" w:color="000000" w:fill="FFFFFF"/>
            <w:vAlign w:val="center"/>
          </w:tcPr>
          <w:p>
            <w:pPr>
              <w:adjustRightInd w:val="0"/>
              <w:snapToGrid w:val="0"/>
              <w:spacing w:line="360" w:lineRule="auto"/>
              <w:rPr>
                <w:rFonts w:ascii="宋体" w:hAnsi="宋体" w:cs="宋体"/>
                <w:color w:val="000000"/>
                <w:szCs w:val="21"/>
              </w:rPr>
            </w:pPr>
            <w:r>
              <w:rPr>
                <w:rFonts w:hint="eastAsia" w:ascii="宋体" w:hAnsi="宋体" w:cs="宋体"/>
                <w:color w:val="000000"/>
                <w:szCs w:val="21"/>
              </w:rPr>
              <w:t>所投</w:t>
            </w:r>
            <w:r>
              <w:rPr>
                <w:rFonts w:hint="eastAsia" w:ascii="宋体" w:hAnsi="宋体"/>
                <w:color w:val="000000"/>
                <w:szCs w:val="21"/>
                <w:highlight w:val="none"/>
              </w:rPr>
              <w:t>CODcr、</w:t>
            </w:r>
            <w:r>
              <w:rPr>
                <w:rFonts w:hint="eastAsia" w:ascii="宋体" w:hAnsi="宋体" w:cs="宋体"/>
                <w:color w:val="000000"/>
                <w:szCs w:val="21"/>
                <w:highlight w:val="none"/>
              </w:rPr>
              <w:t>氨氮</w:t>
            </w:r>
            <w:r>
              <w:rPr>
                <w:rFonts w:hint="eastAsia" w:ascii="宋体" w:hAnsi="宋体" w:cs="宋体"/>
                <w:color w:val="000000"/>
                <w:szCs w:val="21"/>
              </w:rPr>
              <w:t>在线分析仪通过环境保护部环境监测仪器质量监督检验中心的适用性检测，具有环境保护部环境监测仪器质量监督检验中心出具的在有效期内的检测合格报告并具有有效期内的中国环境保护产品认证证书。全部符合要求的得</w:t>
            </w:r>
            <w:r>
              <w:rPr>
                <w:rFonts w:hint="eastAsia" w:ascii="宋体" w:hAnsi="宋体" w:cs="宋体"/>
                <w:color w:val="000000"/>
                <w:szCs w:val="21"/>
                <w:lang w:val="en-US" w:eastAsia="zh-CN"/>
              </w:rPr>
              <w:t>1</w:t>
            </w:r>
            <w:r>
              <w:rPr>
                <w:rFonts w:hint="eastAsia" w:ascii="宋体" w:hAnsi="宋体" w:cs="宋体"/>
                <w:color w:val="000000"/>
                <w:szCs w:val="21"/>
              </w:rPr>
              <w:t>分，有一项不符合</w:t>
            </w:r>
            <w:r>
              <w:rPr>
                <w:rFonts w:hint="eastAsia" w:ascii="宋体" w:hAnsi="宋体" w:cs="宋体"/>
                <w:color w:val="000000"/>
                <w:szCs w:val="21"/>
                <w:lang w:eastAsia="zh-CN"/>
              </w:rPr>
              <w:t>不得</w:t>
            </w:r>
            <w:r>
              <w:rPr>
                <w:rFonts w:hint="eastAsia" w:ascii="宋体" w:hAnsi="宋体" w:cs="宋体"/>
                <w:color w:val="000000"/>
                <w:szCs w:val="21"/>
                <w:lang w:val="en-US" w:eastAsia="zh-CN"/>
              </w:rPr>
              <w:t>分</w:t>
            </w:r>
            <w:r>
              <w:rPr>
                <w:rFonts w:hint="eastAsia" w:ascii="宋体" w:hAnsi="宋体" w:cs="宋体"/>
                <w:color w:val="000000"/>
                <w:szCs w:val="21"/>
              </w:rPr>
              <w:t>。（提供扫描件）。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trPr>
        <w:tc>
          <w:tcPr>
            <w:tcW w:w="463" w:type="dxa"/>
            <w:vMerge w:val="continue"/>
            <w:shd w:val="clear" w:color="000000" w:fill="FFFFFF"/>
            <w:vAlign w:val="center"/>
          </w:tcPr>
          <w:p>
            <w:pPr>
              <w:spacing w:line="360" w:lineRule="auto"/>
              <w:jc w:val="center"/>
              <w:rPr>
                <w:rFonts w:ascii="宋体" w:hAnsi="宋体"/>
                <w:szCs w:val="21"/>
              </w:rPr>
            </w:pPr>
          </w:p>
        </w:tc>
        <w:tc>
          <w:tcPr>
            <w:tcW w:w="1073" w:type="dxa"/>
            <w:vMerge w:val="continue"/>
            <w:shd w:val="clear" w:color="000000" w:fill="FFFFFF"/>
            <w:vAlign w:val="center"/>
          </w:tcPr>
          <w:p>
            <w:pPr>
              <w:spacing w:line="360" w:lineRule="auto"/>
              <w:jc w:val="center"/>
              <w:rPr>
                <w:rFonts w:ascii="宋体" w:hAnsi="宋体" w:cs="宋体"/>
                <w:szCs w:val="21"/>
              </w:rPr>
            </w:pPr>
          </w:p>
        </w:tc>
        <w:tc>
          <w:tcPr>
            <w:tcW w:w="1146" w:type="dxa"/>
            <w:shd w:val="clear" w:color="000000" w:fill="FFFFFF"/>
            <w:vAlign w:val="center"/>
          </w:tcPr>
          <w:p>
            <w:pPr>
              <w:spacing w:line="360" w:lineRule="auto"/>
              <w:rPr>
                <w:rFonts w:ascii="宋体" w:hAnsi="宋体" w:cs="宋体"/>
                <w:szCs w:val="21"/>
              </w:rPr>
            </w:pPr>
            <w:r>
              <w:rPr>
                <w:rFonts w:hint="eastAsia" w:ascii="宋体" w:hAnsi="宋体" w:cs="宋体"/>
                <w:szCs w:val="21"/>
              </w:rPr>
              <w:t>安装调试方案</w:t>
            </w:r>
          </w:p>
        </w:tc>
        <w:tc>
          <w:tcPr>
            <w:tcW w:w="560" w:type="dxa"/>
            <w:shd w:val="clear" w:color="000000" w:fill="FFFFFF"/>
            <w:vAlign w:val="center"/>
          </w:tcPr>
          <w:p>
            <w:pPr>
              <w:spacing w:line="360" w:lineRule="auto"/>
              <w:jc w:val="center"/>
              <w:rPr>
                <w:rFonts w:hint="eastAsia" w:ascii="宋体" w:hAnsi="宋体" w:eastAsia="宋体" w:cs="宋体"/>
                <w:szCs w:val="21"/>
                <w:lang w:val="en-US" w:eastAsia="zh-CN"/>
              </w:rPr>
            </w:pPr>
            <w:r>
              <w:rPr>
                <w:rFonts w:hint="eastAsia" w:ascii="宋体" w:hAnsi="宋体" w:cs="宋体"/>
                <w:szCs w:val="21"/>
                <w:lang w:val="en-US" w:eastAsia="zh-CN"/>
              </w:rPr>
              <w:t>3</w:t>
            </w:r>
          </w:p>
        </w:tc>
        <w:tc>
          <w:tcPr>
            <w:tcW w:w="5145" w:type="dxa"/>
            <w:shd w:val="clear" w:color="000000" w:fill="FFFFFF"/>
            <w:vAlign w:val="center"/>
          </w:tcPr>
          <w:p>
            <w:pPr>
              <w:adjustRightInd w:val="0"/>
              <w:snapToGrid w:val="0"/>
              <w:spacing w:line="360" w:lineRule="auto"/>
              <w:rPr>
                <w:rFonts w:ascii="宋体" w:hAnsi="宋体" w:cs="宋体"/>
                <w:szCs w:val="21"/>
              </w:rPr>
            </w:pPr>
            <w:r>
              <w:rPr>
                <w:rFonts w:hint="eastAsia" w:ascii="宋体" w:hAnsi="宋体" w:cs="宋体"/>
                <w:szCs w:val="21"/>
              </w:rPr>
              <w:t>投标人针对本项目制定合理、完善、有一定的计划性的安装调试等方案；方案完善可行性强的计</w:t>
            </w:r>
            <w:r>
              <w:rPr>
                <w:rFonts w:hint="eastAsia" w:ascii="宋体" w:hAnsi="宋体" w:cs="宋体"/>
                <w:szCs w:val="21"/>
                <w:lang w:val="en-US" w:eastAsia="zh-CN"/>
              </w:rPr>
              <w:t>3</w:t>
            </w:r>
            <w:r>
              <w:rPr>
                <w:rFonts w:hint="eastAsia" w:ascii="宋体" w:hAnsi="宋体" w:cs="宋体"/>
                <w:szCs w:val="21"/>
              </w:rPr>
              <w:t>分</w:t>
            </w:r>
            <w:r>
              <w:rPr>
                <w:rFonts w:hint="eastAsia" w:ascii="宋体" w:hAnsi="宋体" w:cs="宋体"/>
                <w:szCs w:val="21"/>
                <w:lang w:eastAsia="zh-CN"/>
              </w:rPr>
              <w:t>；</w:t>
            </w:r>
            <w:r>
              <w:rPr>
                <w:rFonts w:hint="eastAsia" w:ascii="宋体" w:hAnsi="宋体" w:cs="宋体"/>
                <w:szCs w:val="21"/>
              </w:rPr>
              <w:t>方案不够完善可行性一般计</w:t>
            </w:r>
            <w:r>
              <w:rPr>
                <w:rFonts w:hint="eastAsia" w:ascii="宋体" w:hAnsi="宋体" w:cs="宋体"/>
                <w:szCs w:val="21"/>
                <w:lang w:val="en-US" w:eastAsia="zh-CN"/>
              </w:rPr>
              <w:t>2</w:t>
            </w:r>
            <w:r>
              <w:rPr>
                <w:rFonts w:hint="eastAsia" w:ascii="宋体" w:hAnsi="宋体" w:cs="宋体"/>
                <w:szCs w:val="21"/>
              </w:rPr>
              <w:t>分</w:t>
            </w:r>
            <w:r>
              <w:rPr>
                <w:rFonts w:hint="eastAsia" w:ascii="宋体" w:hAnsi="宋体" w:cs="宋体"/>
                <w:szCs w:val="21"/>
                <w:lang w:eastAsia="zh-CN"/>
              </w:rPr>
              <w:t>；</w:t>
            </w:r>
            <w:r>
              <w:rPr>
                <w:rFonts w:hint="eastAsia" w:ascii="宋体" w:hAnsi="宋体" w:cs="宋体"/>
                <w:szCs w:val="21"/>
                <w:lang w:val="en-US" w:eastAsia="zh-CN"/>
              </w:rPr>
              <w:t>方案不完善、可行性不强计1分；</w:t>
            </w:r>
            <w:r>
              <w:rPr>
                <w:rFonts w:hint="eastAsia" w:ascii="宋体" w:hAnsi="宋体" w:cs="宋体"/>
                <w:szCs w:val="21"/>
              </w:rPr>
              <w:t>没有技术方案的不计分。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 w:hRule="atLeast"/>
        </w:trPr>
        <w:tc>
          <w:tcPr>
            <w:tcW w:w="463" w:type="dxa"/>
            <w:vMerge w:val="continue"/>
            <w:shd w:val="clear" w:color="auto" w:fill="auto"/>
            <w:vAlign w:val="center"/>
          </w:tcPr>
          <w:p>
            <w:pPr>
              <w:spacing w:line="360" w:lineRule="auto"/>
              <w:rPr>
                <w:rFonts w:ascii="宋体" w:hAnsi="宋体"/>
                <w:szCs w:val="21"/>
              </w:rPr>
            </w:pPr>
          </w:p>
        </w:tc>
        <w:tc>
          <w:tcPr>
            <w:tcW w:w="1073" w:type="dxa"/>
            <w:vMerge w:val="continue"/>
            <w:shd w:val="clear" w:color="auto" w:fill="auto"/>
            <w:vAlign w:val="center"/>
          </w:tcPr>
          <w:p>
            <w:pPr>
              <w:spacing w:line="360" w:lineRule="auto"/>
              <w:rPr>
                <w:rFonts w:ascii="宋体" w:hAnsi="宋体" w:cs="宋体"/>
                <w:szCs w:val="21"/>
              </w:rPr>
            </w:pPr>
          </w:p>
        </w:tc>
        <w:tc>
          <w:tcPr>
            <w:tcW w:w="1146" w:type="dxa"/>
            <w:shd w:val="clear" w:color="000000" w:fill="FFFFFF"/>
            <w:vAlign w:val="center"/>
          </w:tcPr>
          <w:p>
            <w:pPr>
              <w:spacing w:line="360" w:lineRule="auto"/>
              <w:rPr>
                <w:rFonts w:ascii="宋体" w:hAnsi="宋体" w:cs="宋体"/>
                <w:szCs w:val="21"/>
              </w:rPr>
            </w:pPr>
            <w:r>
              <w:rPr>
                <w:rFonts w:hint="eastAsia" w:ascii="宋体" w:hAnsi="宋体" w:cs="宋体"/>
                <w:szCs w:val="21"/>
              </w:rPr>
              <w:t>售后服务保障</w:t>
            </w:r>
          </w:p>
        </w:tc>
        <w:tc>
          <w:tcPr>
            <w:tcW w:w="560" w:type="dxa"/>
            <w:shd w:val="clear" w:color="000000" w:fill="FFFFFF"/>
            <w:vAlign w:val="center"/>
          </w:tcPr>
          <w:p>
            <w:pPr>
              <w:spacing w:line="360" w:lineRule="auto"/>
              <w:jc w:val="center"/>
              <w:rPr>
                <w:rFonts w:hint="eastAsia" w:ascii="宋体" w:hAnsi="宋体" w:eastAsia="宋体" w:cs="宋体"/>
                <w:szCs w:val="21"/>
                <w:lang w:eastAsia="zh-CN"/>
              </w:rPr>
            </w:pPr>
            <w:r>
              <w:rPr>
                <w:rFonts w:hint="eastAsia" w:ascii="宋体" w:hAnsi="宋体" w:cs="宋体"/>
                <w:szCs w:val="21"/>
                <w:lang w:val="en-US" w:eastAsia="zh-CN"/>
              </w:rPr>
              <w:t>3</w:t>
            </w:r>
          </w:p>
        </w:tc>
        <w:tc>
          <w:tcPr>
            <w:tcW w:w="5145" w:type="dxa"/>
            <w:shd w:val="clear" w:color="000000" w:fill="FFFFFF"/>
            <w:vAlign w:val="center"/>
          </w:tcPr>
          <w:p>
            <w:pPr>
              <w:spacing w:line="360" w:lineRule="auto"/>
              <w:rPr>
                <w:rFonts w:ascii="宋体" w:hAnsi="宋体" w:cs="宋体"/>
                <w:szCs w:val="21"/>
              </w:rPr>
            </w:pPr>
            <w:r>
              <w:rPr>
                <w:rFonts w:hint="eastAsia" w:ascii="宋体" w:hAnsi="宋体" w:cs="宋体"/>
                <w:szCs w:val="21"/>
              </w:rPr>
              <w:t>投标人质保期满足招标文件要求，同时有详细、具体、可行的培训及售后服务方案措施并承诺服务及内容的，计</w:t>
            </w:r>
            <w:r>
              <w:rPr>
                <w:rFonts w:hint="eastAsia" w:ascii="宋体" w:hAnsi="宋体" w:cs="宋体"/>
                <w:szCs w:val="21"/>
                <w:lang w:val="en-US" w:eastAsia="zh-CN"/>
              </w:rPr>
              <w:t>3</w:t>
            </w:r>
            <w:r>
              <w:rPr>
                <w:rFonts w:hint="eastAsia" w:ascii="宋体" w:hAnsi="宋体" w:cs="宋体"/>
                <w:szCs w:val="21"/>
              </w:rPr>
              <w:t>分；培训计划、售后服务方案欠完善的，计</w:t>
            </w:r>
            <w:r>
              <w:rPr>
                <w:rFonts w:hint="eastAsia" w:ascii="宋体" w:hAnsi="宋体" w:cs="宋体"/>
                <w:szCs w:val="21"/>
                <w:lang w:val="en-US" w:eastAsia="zh-CN"/>
              </w:rPr>
              <w:t>1</w:t>
            </w:r>
            <w:r>
              <w:rPr>
                <w:rFonts w:hint="eastAsia" w:ascii="宋体" w:hAnsi="宋体" w:cs="宋体"/>
                <w:szCs w:val="21"/>
              </w:rPr>
              <w:t>分；培训计划、售后服务方案不完善、可操作性不强的，计</w:t>
            </w:r>
            <w:r>
              <w:rPr>
                <w:rFonts w:hint="eastAsia" w:ascii="宋体" w:hAnsi="宋体" w:cs="宋体"/>
                <w:szCs w:val="21"/>
                <w:lang w:val="en-US" w:eastAsia="zh-CN"/>
              </w:rPr>
              <w:t>0</w:t>
            </w:r>
            <w:r>
              <w:rPr>
                <w:rFonts w:hint="eastAsia" w:ascii="宋体" w:hAnsi="宋体" w:cs="宋体"/>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 w:hRule="atLeast"/>
        </w:trPr>
        <w:tc>
          <w:tcPr>
            <w:tcW w:w="463" w:type="dxa"/>
            <w:vMerge w:val="continue"/>
            <w:shd w:val="clear" w:color="auto" w:fill="auto"/>
            <w:vAlign w:val="center"/>
          </w:tcPr>
          <w:p>
            <w:pPr>
              <w:spacing w:line="360" w:lineRule="auto"/>
              <w:rPr>
                <w:rFonts w:ascii="宋体" w:hAnsi="宋体"/>
                <w:szCs w:val="21"/>
              </w:rPr>
            </w:pPr>
          </w:p>
        </w:tc>
        <w:tc>
          <w:tcPr>
            <w:tcW w:w="1073" w:type="dxa"/>
            <w:vMerge w:val="continue"/>
            <w:shd w:val="clear" w:color="auto" w:fill="auto"/>
            <w:vAlign w:val="center"/>
          </w:tcPr>
          <w:p>
            <w:pPr>
              <w:spacing w:line="360" w:lineRule="auto"/>
              <w:rPr>
                <w:rFonts w:ascii="宋体" w:hAnsi="宋体" w:cs="宋体"/>
                <w:szCs w:val="21"/>
              </w:rPr>
            </w:pPr>
          </w:p>
        </w:tc>
        <w:tc>
          <w:tcPr>
            <w:tcW w:w="1146" w:type="dxa"/>
            <w:shd w:val="clear" w:color="000000" w:fill="FFFFFF"/>
            <w:vAlign w:val="center"/>
          </w:tcPr>
          <w:p>
            <w:pPr>
              <w:spacing w:line="360" w:lineRule="auto"/>
              <w:rPr>
                <w:rFonts w:hint="default" w:ascii="宋体" w:hAnsi="宋体" w:eastAsia="宋体" w:cs="宋体"/>
                <w:szCs w:val="21"/>
                <w:lang w:val="en-US" w:eastAsia="zh-CN"/>
              </w:rPr>
            </w:pPr>
            <w:r>
              <w:rPr>
                <w:rFonts w:hint="eastAsia" w:ascii="宋体" w:hAnsi="宋体" w:cs="宋体"/>
                <w:szCs w:val="21"/>
                <w:lang w:val="en-US" w:eastAsia="zh-CN"/>
              </w:rPr>
              <w:t>验收及培训方案</w:t>
            </w:r>
          </w:p>
        </w:tc>
        <w:tc>
          <w:tcPr>
            <w:tcW w:w="560" w:type="dxa"/>
            <w:shd w:val="clear" w:color="000000" w:fill="FFFFFF"/>
            <w:vAlign w:val="center"/>
          </w:tcPr>
          <w:p>
            <w:pPr>
              <w:spacing w:line="360" w:lineRule="auto"/>
              <w:jc w:val="center"/>
              <w:rPr>
                <w:rFonts w:hint="eastAsia" w:ascii="宋体" w:hAnsi="宋体" w:eastAsia="宋体" w:cs="宋体"/>
                <w:szCs w:val="21"/>
                <w:lang w:val="en-US" w:eastAsia="zh-CN"/>
              </w:rPr>
            </w:pPr>
            <w:r>
              <w:rPr>
                <w:rFonts w:hint="eastAsia" w:ascii="宋体" w:hAnsi="宋体" w:cs="宋体"/>
                <w:szCs w:val="21"/>
                <w:lang w:val="en-US" w:eastAsia="zh-CN"/>
              </w:rPr>
              <w:t>3</w:t>
            </w:r>
          </w:p>
        </w:tc>
        <w:tc>
          <w:tcPr>
            <w:tcW w:w="5145" w:type="dxa"/>
            <w:shd w:val="clear" w:color="000000" w:fill="FFFFFF"/>
            <w:vAlign w:val="center"/>
          </w:tcPr>
          <w:p>
            <w:pPr>
              <w:spacing w:line="360" w:lineRule="auto"/>
              <w:rPr>
                <w:rFonts w:hint="default" w:ascii="宋体" w:hAnsi="宋体" w:eastAsia="宋体" w:cs="宋体"/>
                <w:szCs w:val="21"/>
                <w:lang w:val="en-US" w:eastAsia="zh-CN"/>
              </w:rPr>
            </w:pPr>
            <w:r>
              <w:rPr>
                <w:rFonts w:hint="eastAsia" w:ascii="宋体" w:hAnsi="宋体" w:cs="宋体"/>
                <w:szCs w:val="21"/>
                <w:lang w:val="en-US" w:eastAsia="zh-CN"/>
              </w:rPr>
              <w:t>投标人针对本项目制定合理、完善的验收及培训方案：方案完善可行性强的</w:t>
            </w:r>
            <w:r>
              <w:rPr>
                <w:rFonts w:hint="eastAsia" w:ascii="宋体" w:hAnsi="宋体" w:cs="宋体"/>
                <w:szCs w:val="21"/>
              </w:rPr>
              <w:t>计</w:t>
            </w:r>
            <w:r>
              <w:rPr>
                <w:rFonts w:hint="eastAsia" w:ascii="宋体" w:hAnsi="宋体" w:cs="宋体"/>
                <w:szCs w:val="21"/>
                <w:lang w:val="en-US" w:eastAsia="zh-CN"/>
              </w:rPr>
              <w:t>3</w:t>
            </w:r>
            <w:r>
              <w:rPr>
                <w:rFonts w:hint="eastAsia" w:ascii="宋体" w:hAnsi="宋体" w:cs="宋体"/>
                <w:szCs w:val="21"/>
              </w:rPr>
              <w:t>分</w:t>
            </w:r>
            <w:r>
              <w:rPr>
                <w:rFonts w:hint="eastAsia" w:ascii="宋体" w:hAnsi="宋体" w:cs="宋体"/>
                <w:szCs w:val="21"/>
                <w:lang w:eastAsia="zh-CN"/>
              </w:rPr>
              <w:t>；</w:t>
            </w:r>
            <w:r>
              <w:rPr>
                <w:rFonts w:hint="eastAsia" w:ascii="宋体" w:hAnsi="宋体" w:cs="宋体"/>
                <w:szCs w:val="21"/>
              </w:rPr>
              <w:t>方案不够完善</w:t>
            </w:r>
            <w:r>
              <w:rPr>
                <w:rFonts w:hint="eastAsia" w:ascii="宋体" w:hAnsi="宋体" w:cs="宋体"/>
                <w:szCs w:val="21"/>
                <w:lang w:eastAsia="zh-CN"/>
              </w:rPr>
              <w:t>、</w:t>
            </w:r>
            <w:r>
              <w:rPr>
                <w:rFonts w:hint="eastAsia" w:ascii="宋体" w:hAnsi="宋体" w:cs="宋体"/>
                <w:szCs w:val="21"/>
              </w:rPr>
              <w:t>可行性一般计</w:t>
            </w:r>
            <w:r>
              <w:rPr>
                <w:rFonts w:hint="eastAsia" w:ascii="宋体" w:hAnsi="宋体" w:cs="宋体"/>
                <w:szCs w:val="21"/>
                <w:lang w:val="en-US" w:eastAsia="zh-CN"/>
              </w:rPr>
              <w:t>2</w:t>
            </w:r>
            <w:r>
              <w:rPr>
                <w:rFonts w:hint="eastAsia" w:ascii="宋体" w:hAnsi="宋体" w:cs="宋体"/>
                <w:szCs w:val="21"/>
              </w:rPr>
              <w:t>分</w:t>
            </w:r>
            <w:r>
              <w:rPr>
                <w:rFonts w:hint="eastAsia" w:ascii="宋体" w:hAnsi="宋体" w:cs="宋体"/>
                <w:szCs w:val="21"/>
                <w:lang w:eastAsia="zh-CN"/>
              </w:rPr>
              <w:t>；</w:t>
            </w:r>
            <w:r>
              <w:rPr>
                <w:rFonts w:hint="eastAsia" w:ascii="宋体" w:hAnsi="宋体" w:cs="宋体"/>
                <w:szCs w:val="21"/>
                <w:lang w:val="en-US" w:eastAsia="zh-CN"/>
              </w:rPr>
              <w:t>方案不完善、可行性不强计1分</w:t>
            </w:r>
            <w:r>
              <w:rPr>
                <w:rFonts w:hint="eastAsia" w:ascii="宋体" w:hAnsi="宋体" w:cs="宋体"/>
                <w:szCs w:val="21"/>
                <w:lang w:eastAsia="zh-CN"/>
              </w:rPr>
              <w:t>；</w:t>
            </w:r>
            <w:r>
              <w:rPr>
                <w:rFonts w:hint="eastAsia" w:ascii="宋体" w:hAnsi="宋体" w:cs="宋体"/>
                <w:szCs w:val="21"/>
              </w:rPr>
              <w:t>没有技术方案的不计分。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463" w:type="dxa"/>
            <w:vMerge w:val="restart"/>
            <w:shd w:val="clear" w:color="000000" w:fill="FFFFFF"/>
            <w:vAlign w:val="center"/>
          </w:tcPr>
          <w:p>
            <w:pPr>
              <w:spacing w:line="360" w:lineRule="auto"/>
              <w:jc w:val="center"/>
              <w:rPr>
                <w:rFonts w:ascii="宋体" w:hAnsi="宋体"/>
                <w:szCs w:val="21"/>
              </w:rPr>
            </w:pPr>
            <w:r>
              <w:rPr>
                <w:rFonts w:hint="eastAsia" w:ascii="宋体" w:hAnsi="宋体"/>
                <w:szCs w:val="21"/>
              </w:rPr>
              <w:t>3</w:t>
            </w:r>
          </w:p>
        </w:tc>
        <w:tc>
          <w:tcPr>
            <w:tcW w:w="1073" w:type="dxa"/>
            <w:vMerge w:val="restart"/>
            <w:shd w:val="clear" w:color="000000" w:fill="FFFFFF"/>
            <w:vAlign w:val="center"/>
          </w:tcPr>
          <w:p>
            <w:pPr>
              <w:spacing w:line="360" w:lineRule="auto"/>
              <w:jc w:val="center"/>
              <w:rPr>
                <w:rFonts w:ascii="宋体" w:hAnsi="宋体" w:cs="宋体"/>
                <w:szCs w:val="21"/>
              </w:rPr>
            </w:pPr>
            <w:r>
              <w:rPr>
                <w:rFonts w:hint="eastAsia" w:ascii="宋体" w:hAnsi="宋体" w:cs="宋体"/>
                <w:szCs w:val="21"/>
              </w:rPr>
              <w:t>商务评价项（</w:t>
            </w:r>
            <w:r>
              <w:rPr>
                <w:rFonts w:hint="eastAsia" w:ascii="宋体" w:hAnsi="宋体" w:cs="宋体"/>
                <w:szCs w:val="21"/>
                <w:lang w:val="en-US" w:eastAsia="zh-CN"/>
              </w:rPr>
              <w:t>12</w:t>
            </w:r>
            <w:r>
              <w:rPr>
                <w:rFonts w:hint="eastAsia" w:ascii="宋体" w:hAnsi="宋体" w:cs="宋体"/>
                <w:szCs w:val="21"/>
              </w:rPr>
              <w:t>分）</w:t>
            </w:r>
          </w:p>
        </w:tc>
        <w:tc>
          <w:tcPr>
            <w:tcW w:w="1146" w:type="dxa"/>
            <w:shd w:val="clear" w:color="000000" w:fill="FFFFFF"/>
            <w:vAlign w:val="center"/>
          </w:tcPr>
          <w:p>
            <w:pPr>
              <w:spacing w:line="360" w:lineRule="auto"/>
              <w:jc w:val="center"/>
              <w:rPr>
                <w:rFonts w:ascii="宋体" w:hAnsi="宋体" w:cs="宋体"/>
                <w:szCs w:val="21"/>
              </w:rPr>
            </w:pPr>
            <w:r>
              <w:rPr>
                <w:rFonts w:hint="eastAsia" w:ascii="宋体" w:hAnsi="宋体" w:cs="宋体"/>
                <w:szCs w:val="21"/>
              </w:rPr>
              <w:t>企业实力</w:t>
            </w:r>
          </w:p>
        </w:tc>
        <w:tc>
          <w:tcPr>
            <w:tcW w:w="560" w:type="dxa"/>
            <w:shd w:val="clear" w:color="000000" w:fill="FFFFFF"/>
            <w:vAlign w:val="center"/>
          </w:tcPr>
          <w:p>
            <w:pPr>
              <w:spacing w:line="360" w:lineRule="auto"/>
              <w:jc w:val="center"/>
              <w:rPr>
                <w:rFonts w:hint="eastAsia" w:ascii="宋体" w:hAnsi="宋体" w:eastAsia="宋体" w:cs="宋体"/>
                <w:szCs w:val="21"/>
                <w:lang w:eastAsia="zh-CN"/>
              </w:rPr>
            </w:pPr>
            <w:r>
              <w:rPr>
                <w:rFonts w:hint="eastAsia" w:ascii="宋体" w:hAnsi="宋体" w:cs="宋体"/>
                <w:szCs w:val="21"/>
                <w:lang w:val="en-US" w:eastAsia="zh-CN"/>
              </w:rPr>
              <w:t>7</w:t>
            </w:r>
          </w:p>
        </w:tc>
        <w:tc>
          <w:tcPr>
            <w:tcW w:w="5145" w:type="dxa"/>
            <w:shd w:val="clear" w:color="000000" w:fill="FFFFFF"/>
            <w:vAlign w:val="center"/>
          </w:tcPr>
          <w:p>
            <w:pPr>
              <w:spacing w:line="360" w:lineRule="auto"/>
              <w:rPr>
                <w:rFonts w:ascii="宋体" w:hAnsi="宋体" w:cs="宋体"/>
                <w:szCs w:val="21"/>
              </w:rPr>
            </w:pPr>
            <w:r>
              <w:rPr>
                <w:rFonts w:hint="eastAsia" w:ascii="宋体" w:hAnsi="宋体" w:cs="宋体"/>
                <w:szCs w:val="21"/>
              </w:rPr>
              <w:t>1.</w:t>
            </w:r>
            <w:r>
              <w:rPr>
                <w:rFonts w:hint="eastAsia" w:ascii="宋体" w:hAnsi="宋体" w:cs="宋体"/>
                <w:color w:val="000000"/>
                <w:szCs w:val="21"/>
              </w:rPr>
              <w:t>投标人同时</w:t>
            </w:r>
            <w:r>
              <w:rPr>
                <w:rFonts w:hint="eastAsia" w:ascii="宋体" w:hAnsi="宋体" w:cs="宋体"/>
                <w:szCs w:val="21"/>
              </w:rPr>
              <w:t>具备ISO9001 质量管理体系认证证书、GB/T29490 知识产权管理体系认证证书、ISO14001 环境管理体系认证证书、ISO45001 职业健康安全管理体系认证证书、ISO27001 信息安全管理体系认证证书、ISO20000 信息技术服务管理体系认证证书的计6分。</w:t>
            </w:r>
          </w:p>
          <w:p>
            <w:pPr>
              <w:spacing w:line="360" w:lineRule="auto"/>
              <w:rPr>
                <w:rFonts w:ascii="宋体" w:hAnsi="宋体" w:cs="宋体"/>
                <w:color w:val="000000"/>
                <w:szCs w:val="21"/>
              </w:rPr>
            </w:pPr>
            <w:r>
              <w:rPr>
                <w:rFonts w:hint="eastAsia" w:ascii="宋体" w:hAnsi="宋体" w:cs="宋体"/>
                <w:szCs w:val="21"/>
                <w:lang w:val="en-US" w:eastAsia="zh-CN"/>
              </w:rPr>
              <w:t>2</w:t>
            </w:r>
            <w:r>
              <w:rPr>
                <w:rFonts w:hint="eastAsia" w:ascii="宋体" w:hAnsi="宋体" w:cs="宋体"/>
                <w:szCs w:val="21"/>
              </w:rPr>
              <w:t>.</w:t>
            </w:r>
            <w:r>
              <w:rPr>
                <w:rFonts w:hint="eastAsia" w:ascii="宋体" w:hAnsi="宋体" w:cs="宋体"/>
                <w:color w:val="000000"/>
                <w:szCs w:val="21"/>
              </w:rPr>
              <w:t>投标人或主要设备制造商是国家认定企业技术中心的，得</w:t>
            </w:r>
            <w:r>
              <w:rPr>
                <w:rFonts w:hint="eastAsia" w:ascii="宋体" w:hAnsi="宋体"/>
                <w:color w:val="000000"/>
                <w:szCs w:val="21"/>
                <w:lang w:val="en-US" w:eastAsia="zh-CN"/>
              </w:rPr>
              <w:t>1</w:t>
            </w:r>
            <w:r>
              <w:rPr>
                <w:rFonts w:hint="eastAsia" w:ascii="宋体" w:hAnsi="宋体" w:cs="宋体"/>
                <w:color w:val="000000"/>
                <w:szCs w:val="21"/>
              </w:rPr>
              <w:t>分；是省级认定企业技术中心的，得</w:t>
            </w:r>
            <w:r>
              <w:rPr>
                <w:rFonts w:hint="eastAsia" w:ascii="宋体" w:hAnsi="宋体"/>
                <w:color w:val="000000"/>
                <w:szCs w:val="21"/>
                <w:lang w:val="en-US" w:eastAsia="zh-CN"/>
              </w:rPr>
              <w:t>0.5</w:t>
            </w:r>
            <w:r>
              <w:rPr>
                <w:rFonts w:hint="eastAsia" w:ascii="宋体" w:hAnsi="宋体" w:cs="宋体"/>
                <w:color w:val="000000"/>
                <w:szCs w:val="21"/>
              </w:rPr>
              <w:t>分；其余不得分。（提供扫描件）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34" w:hRule="atLeast"/>
        </w:trPr>
        <w:tc>
          <w:tcPr>
            <w:tcW w:w="463" w:type="dxa"/>
            <w:vMerge w:val="continue"/>
            <w:shd w:val="clear" w:color="auto" w:fill="auto"/>
            <w:vAlign w:val="center"/>
          </w:tcPr>
          <w:p>
            <w:pPr>
              <w:spacing w:line="360" w:lineRule="auto"/>
              <w:rPr>
                <w:rFonts w:ascii="宋体" w:hAnsi="宋体"/>
                <w:szCs w:val="21"/>
              </w:rPr>
            </w:pPr>
          </w:p>
        </w:tc>
        <w:tc>
          <w:tcPr>
            <w:tcW w:w="1073" w:type="dxa"/>
            <w:vMerge w:val="continue"/>
            <w:shd w:val="clear" w:color="auto" w:fill="auto"/>
            <w:vAlign w:val="center"/>
          </w:tcPr>
          <w:p>
            <w:pPr>
              <w:spacing w:line="360" w:lineRule="auto"/>
              <w:rPr>
                <w:rFonts w:ascii="宋体" w:hAnsi="宋体" w:cs="宋体"/>
                <w:szCs w:val="21"/>
              </w:rPr>
            </w:pPr>
          </w:p>
        </w:tc>
        <w:tc>
          <w:tcPr>
            <w:tcW w:w="1146" w:type="dxa"/>
            <w:shd w:val="clear" w:color="000000" w:fill="FFFFFF"/>
            <w:vAlign w:val="center"/>
          </w:tcPr>
          <w:p>
            <w:pPr>
              <w:spacing w:line="360" w:lineRule="auto"/>
              <w:jc w:val="center"/>
              <w:rPr>
                <w:rFonts w:ascii="宋体" w:hAnsi="宋体" w:cs="宋体"/>
                <w:szCs w:val="21"/>
              </w:rPr>
            </w:pPr>
            <w:r>
              <w:rPr>
                <w:rFonts w:hint="eastAsia" w:ascii="宋体" w:hAnsi="宋体" w:cs="宋体"/>
                <w:szCs w:val="21"/>
              </w:rPr>
              <w:t>工程实施资质</w:t>
            </w:r>
          </w:p>
        </w:tc>
        <w:tc>
          <w:tcPr>
            <w:tcW w:w="560" w:type="dxa"/>
            <w:shd w:val="clear" w:color="000000" w:fill="FFFFFF"/>
            <w:vAlign w:val="center"/>
          </w:tcPr>
          <w:p>
            <w:pPr>
              <w:spacing w:line="360" w:lineRule="auto"/>
              <w:jc w:val="center"/>
              <w:rPr>
                <w:rFonts w:hint="eastAsia" w:ascii="宋体" w:hAnsi="宋体" w:eastAsia="宋体" w:cs="宋体"/>
                <w:szCs w:val="21"/>
                <w:lang w:eastAsia="zh-CN"/>
              </w:rPr>
            </w:pPr>
            <w:r>
              <w:rPr>
                <w:rFonts w:hint="eastAsia" w:ascii="宋体" w:hAnsi="宋体" w:cs="宋体"/>
                <w:szCs w:val="21"/>
                <w:lang w:val="en-US" w:eastAsia="zh-CN"/>
              </w:rPr>
              <w:t>1</w:t>
            </w:r>
          </w:p>
        </w:tc>
        <w:tc>
          <w:tcPr>
            <w:tcW w:w="5145" w:type="dxa"/>
            <w:shd w:val="clear" w:color="000000" w:fill="FFFFFF"/>
            <w:vAlign w:val="center"/>
          </w:tcPr>
          <w:p>
            <w:pPr>
              <w:spacing w:line="360" w:lineRule="auto"/>
              <w:rPr>
                <w:rFonts w:ascii="宋体" w:hAnsi="宋体" w:cs="宋体"/>
                <w:color w:val="000000"/>
                <w:szCs w:val="21"/>
              </w:rPr>
            </w:pPr>
            <w:r>
              <w:rPr>
                <w:rFonts w:hint="eastAsia" w:ascii="宋体" w:hAnsi="宋体" w:cs="宋体"/>
                <w:color w:val="000000"/>
                <w:szCs w:val="21"/>
              </w:rPr>
              <w:t>投标人或主要设备制造商</w:t>
            </w:r>
            <w:r>
              <w:rPr>
                <w:rFonts w:hint="eastAsia" w:cs="Times New Roman"/>
                <w:szCs w:val="21"/>
              </w:rPr>
              <w:t>具有机电工程施工总承包三级或以上资质证书的</w:t>
            </w:r>
            <w:r>
              <w:rPr>
                <w:rFonts w:hint="eastAsia" w:ascii="宋体" w:hAnsi="宋体" w:cs="宋体"/>
                <w:color w:val="000000"/>
                <w:szCs w:val="21"/>
              </w:rPr>
              <w:t>得1分，没有不得分。</w:t>
            </w:r>
          </w:p>
          <w:p>
            <w:pPr>
              <w:spacing w:line="360" w:lineRule="auto"/>
              <w:rPr>
                <w:rFonts w:ascii="宋体" w:hAnsi="宋体" w:cs="宋体"/>
                <w:color w:val="000000"/>
                <w:szCs w:val="21"/>
              </w:rPr>
            </w:pPr>
            <w:r>
              <w:rPr>
                <w:rFonts w:hint="eastAsia" w:ascii="宋体" w:hAnsi="宋体" w:cs="宋体"/>
                <w:color w:val="000000"/>
                <w:szCs w:val="21"/>
              </w:rPr>
              <w:t>投标人或主要设备制造商具备环保工程专业承包三级或以上资质证书的得1分，没有不得分。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5" w:hRule="atLeast"/>
        </w:trPr>
        <w:tc>
          <w:tcPr>
            <w:tcW w:w="463" w:type="dxa"/>
            <w:vMerge w:val="continue"/>
            <w:shd w:val="clear" w:color="auto" w:fill="auto"/>
            <w:vAlign w:val="center"/>
          </w:tcPr>
          <w:p>
            <w:pPr>
              <w:spacing w:line="360" w:lineRule="auto"/>
              <w:rPr>
                <w:rFonts w:ascii="宋体" w:hAnsi="宋体"/>
                <w:szCs w:val="21"/>
              </w:rPr>
            </w:pPr>
          </w:p>
        </w:tc>
        <w:tc>
          <w:tcPr>
            <w:tcW w:w="1073" w:type="dxa"/>
            <w:vMerge w:val="continue"/>
            <w:shd w:val="clear" w:color="auto" w:fill="auto"/>
            <w:vAlign w:val="center"/>
          </w:tcPr>
          <w:p>
            <w:pPr>
              <w:spacing w:line="360" w:lineRule="auto"/>
              <w:rPr>
                <w:rFonts w:ascii="宋体" w:hAnsi="宋体" w:cs="宋体"/>
                <w:szCs w:val="21"/>
              </w:rPr>
            </w:pPr>
          </w:p>
        </w:tc>
        <w:tc>
          <w:tcPr>
            <w:tcW w:w="1146" w:type="dxa"/>
            <w:shd w:val="clear" w:color="000000" w:fill="FFFFFF"/>
            <w:vAlign w:val="center"/>
          </w:tcPr>
          <w:p>
            <w:pPr>
              <w:spacing w:line="360" w:lineRule="auto"/>
              <w:jc w:val="center"/>
              <w:rPr>
                <w:rFonts w:ascii="宋体" w:hAnsi="宋体" w:cs="宋体"/>
                <w:szCs w:val="21"/>
              </w:rPr>
            </w:pPr>
            <w:r>
              <w:rPr>
                <w:rFonts w:hint="eastAsia" w:ascii="宋体" w:hAnsi="宋体" w:cs="宋体"/>
                <w:szCs w:val="21"/>
              </w:rPr>
              <w:t>相关业绩</w:t>
            </w:r>
          </w:p>
        </w:tc>
        <w:tc>
          <w:tcPr>
            <w:tcW w:w="560" w:type="dxa"/>
            <w:shd w:val="clear" w:color="000000" w:fill="FFFFFF"/>
            <w:vAlign w:val="center"/>
          </w:tcPr>
          <w:p>
            <w:pPr>
              <w:spacing w:line="360" w:lineRule="auto"/>
              <w:jc w:val="center"/>
              <w:rPr>
                <w:rFonts w:ascii="宋体" w:hAnsi="宋体" w:cs="宋体"/>
                <w:szCs w:val="21"/>
              </w:rPr>
            </w:pPr>
            <w:r>
              <w:rPr>
                <w:rFonts w:hint="eastAsia" w:ascii="宋体" w:hAnsi="宋体" w:cs="宋体"/>
                <w:szCs w:val="21"/>
              </w:rPr>
              <w:t>3</w:t>
            </w:r>
          </w:p>
        </w:tc>
        <w:tc>
          <w:tcPr>
            <w:tcW w:w="5145" w:type="dxa"/>
            <w:shd w:val="clear" w:color="000000" w:fill="FFFFFF"/>
            <w:vAlign w:val="center"/>
          </w:tcPr>
          <w:p>
            <w:pPr>
              <w:spacing w:line="360" w:lineRule="auto"/>
              <w:rPr>
                <w:rFonts w:ascii="宋体" w:hAnsi="宋体" w:cs="宋体"/>
                <w:szCs w:val="21"/>
              </w:rPr>
            </w:pPr>
            <w:r>
              <w:rPr>
                <w:rFonts w:hint="eastAsia" w:ascii="宋体" w:hAnsi="宋体" w:cs="宋体"/>
                <w:color w:val="000000"/>
                <w:szCs w:val="21"/>
                <w:lang w:val="en-US" w:eastAsia="zh-CN"/>
              </w:rPr>
              <w:t>提供</w:t>
            </w:r>
            <w:r>
              <w:rPr>
                <w:rFonts w:hint="eastAsia" w:ascii="宋体" w:hAnsi="宋体" w:cs="宋体"/>
                <w:color w:val="000000"/>
                <w:szCs w:val="21"/>
              </w:rPr>
              <w:t>近三年投标人在国内污染源类项目业绩，</w:t>
            </w:r>
            <w:r>
              <w:rPr>
                <w:rFonts w:hint="eastAsia" w:ascii="宋体" w:hAnsi="宋体" w:cs="宋体"/>
                <w:color w:val="000000"/>
                <w:szCs w:val="21"/>
                <w:lang w:val="en-US" w:eastAsia="zh-CN"/>
              </w:rPr>
              <w:t>每提供一个计1分，</w:t>
            </w:r>
            <w:r>
              <w:rPr>
                <w:rFonts w:hint="eastAsia" w:ascii="宋体" w:hAnsi="宋体" w:cs="宋体"/>
                <w:color w:val="000000"/>
                <w:szCs w:val="21"/>
              </w:rPr>
              <w:t>本项最高得</w:t>
            </w:r>
            <w:r>
              <w:rPr>
                <w:rFonts w:hint="eastAsia" w:ascii="宋体" w:hAnsi="宋体" w:cs="宋体"/>
                <w:color w:val="000000"/>
                <w:szCs w:val="21"/>
                <w:lang w:val="en-US" w:eastAsia="zh-CN"/>
              </w:rPr>
              <w:t>3</w:t>
            </w:r>
            <w:r>
              <w:rPr>
                <w:rFonts w:hint="eastAsia" w:ascii="宋体" w:hAnsi="宋体" w:cs="宋体"/>
                <w:color w:val="000000"/>
                <w:szCs w:val="21"/>
              </w:rPr>
              <w:t>分；（注：需提供合同协议书扫描件）。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463" w:type="dxa"/>
            <w:vMerge w:val="continue"/>
            <w:shd w:val="clear" w:color="auto" w:fill="auto"/>
            <w:vAlign w:val="center"/>
          </w:tcPr>
          <w:p>
            <w:pPr>
              <w:spacing w:line="360" w:lineRule="auto"/>
              <w:rPr>
                <w:rFonts w:ascii="宋体" w:hAnsi="宋体"/>
                <w:szCs w:val="21"/>
              </w:rPr>
            </w:pPr>
          </w:p>
        </w:tc>
        <w:tc>
          <w:tcPr>
            <w:tcW w:w="1073" w:type="dxa"/>
            <w:vMerge w:val="continue"/>
            <w:shd w:val="clear" w:color="auto" w:fill="auto"/>
            <w:vAlign w:val="center"/>
          </w:tcPr>
          <w:p>
            <w:pPr>
              <w:spacing w:line="360" w:lineRule="auto"/>
              <w:rPr>
                <w:rFonts w:ascii="宋体" w:hAnsi="宋体" w:cs="宋体"/>
                <w:szCs w:val="21"/>
              </w:rPr>
            </w:pPr>
          </w:p>
        </w:tc>
        <w:tc>
          <w:tcPr>
            <w:tcW w:w="1146" w:type="dxa"/>
            <w:shd w:val="clear" w:color="000000" w:fill="FFFFFF"/>
            <w:vAlign w:val="center"/>
          </w:tcPr>
          <w:p>
            <w:pPr>
              <w:spacing w:line="360" w:lineRule="auto"/>
              <w:jc w:val="center"/>
              <w:rPr>
                <w:rFonts w:hint="eastAsia" w:ascii="宋体" w:hAnsi="宋体" w:cs="宋体"/>
                <w:szCs w:val="21"/>
              </w:rPr>
            </w:pPr>
            <w:r>
              <w:rPr>
                <w:rFonts w:hint="eastAsia" w:ascii="宋体" w:hAnsi="宋体" w:cs="宋体"/>
                <w:szCs w:val="21"/>
              </w:rPr>
              <w:t>售后能力</w:t>
            </w:r>
          </w:p>
        </w:tc>
        <w:tc>
          <w:tcPr>
            <w:tcW w:w="560" w:type="dxa"/>
            <w:shd w:val="clear" w:color="000000" w:fill="FFFFFF"/>
            <w:vAlign w:val="center"/>
          </w:tcPr>
          <w:p>
            <w:pPr>
              <w:spacing w:line="360" w:lineRule="auto"/>
              <w:jc w:val="center"/>
              <w:rPr>
                <w:rFonts w:hint="eastAsia" w:ascii="宋体" w:hAnsi="宋体" w:eastAsia="宋体" w:cs="宋体"/>
                <w:szCs w:val="21"/>
                <w:lang w:val="en-US" w:eastAsia="zh-CN"/>
              </w:rPr>
            </w:pPr>
            <w:r>
              <w:rPr>
                <w:rFonts w:hint="eastAsia" w:ascii="宋体" w:hAnsi="宋体" w:cs="宋体"/>
                <w:szCs w:val="21"/>
                <w:lang w:val="en-US" w:eastAsia="zh-CN"/>
              </w:rPr>
              <w:t>1</w:t>
            </w:r>
          </w:p>
        </w:tc>
        <w:tc>
          <w:tcPr>
            <w:tcW w:w="5145" w:type="dxa"/>
            <w:shd w:val="clear" w:color="000000" w:fill="FFFFFF"/>
            <w:vAlign w:val="center"/>
          </w:tcPr>
          <w:p>
            <w:pPr>
              <w:spacing w:line="360" w:lineRule="auto"/>
              <w:rPr>
                <w:rFonts w:hint="eastAsia" w:ascii="宋体" w:hAnsi="宋体" w:cs="宋体"/>
                <w:color w:val="000000"/>
                <w:szCs w:val="21"/>
              </w:rPr>
            </w:pPr>
            <w:r>
              <w:rPr>
                <w:rFonts w:hint="eastAsia" w:ascii="宋体" w:hAnsi="宋体" w:cs="宋体"/>
                <w:color w:val="000000"/>
                <w:szCs w:val="21"/>
              </w:rPr>
              <w:t>投标人或设备制造商通过GB/T27922售后服务认证，五星级得</w:t>
            </w:r>
            <w:r>
              <w:rPr>
                <w:rFonts w:hint="eastAsia" w:ascii="宋体" w:hAnsi="宋体" w:cs="宋体"/>
                <w:color w:val="000000"/>
                <w:szCs w:val="21"/>
                <w:lang w:val="en-US" w:eastAsia="zh-CN"/>
              </w:rPr>
              <w:t>1</w:t>
            </w:r>
            <w:r>
              <w:rPr>
                <w:rFonts w:hint="eastAsia" w:ascii="宋体" w:hAnsi="宋体" w:cs="宋体"/>
                <w:color w:val="000000"/>
                <w:szCs w:val="21"/>
              </w:rPr>
              <w:t>分，四星级得</w:t>
            </w:r>
            <w:r>
              <w:rPr>
                <w:rFonts w:hint="eastAsia" w:ascii="宋体" w:hAnsi="宋体" w:cs="宋体"/>
                <w:color w:val="000000"/>
                <w:szCs w:val="21"/>
                <w:lang w:val="en-US" w:eastAsia="zh-CN"/>
              </w:rPr>
              <w:t>0.5</w:t>
            </w:r>
            <w:r>
              <w:rPr>
                <w:rFonts w:hint="eastAsia" w:ascii="宋体" w:hAnsi="宋体" w:cs="宋体"/>
                <w:color w:val="000000"/>
                <w:szCs w:val="21"/>
              </w:rPr>
              <w:t>分，其余不得分。（提供扫描件）</w:t>
            </w:r>
          </w:p>
        </w:tc>
      </w:tr>
    </w:tbl>
    <w:p>
      <w:pPr>
        <w:pStyle w:val="7"/>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60" w:lineRule="exact"/>
        <w:textAlignment w:val="auto"/>
        <w:rPr>
          <w:rFonts w:hint="eastAsia" w:ascii="仿宋" w:hAnsi="仿宋" w:eastAsia="仿宋" w:cs="仿宋"/>
          <w:color w:val="auto"/>
          <w:sz w:val="32"/>
          <w:szCs w:val="32"/>
          <w:shd w:val="clear" w:color="auto" w:fill="FFFFFF"/>
          <w:lang w:val="en-US" w:eastAsia="zh-CN"/>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55" w:lineRule="atLeast"/>
        <w:ind w:right="0"/>
        <w:jc w:val="left"/>
        <w:rPr>
          <w:rFonts w:hint="eastAsia" w:ascii="微软雅黑" w:hAnsi="微软雅黑" w:eastAsia="微软雅黑" w:cs="微软雅黑"/>
          <w:i w:val="0"/>
          <w:iCs w:val="0"/>
          <w:caps w:val="0"/>
          <w:color w:val="333333"/>
          <w:spacing w:val="0"/>
          <w:sz w:val="18"/>
          <w:szCs w:val="18"/>
        </w:rPr>
      </w:pPr>
      <w:r>
        <w:rPr>
          <w:rFonts w:hint="eastAsia" w:ascii="黑体" w:hAnsi="宋体" w:eastAsia="黑体" w:cs="黑体"/>
          <w:i w:val="0"/>
          <w:iCs w:val="0"/>
          <w:caps w:val="0"/>
          <w:color w:val="333333"/>
          <w:spacing w:val="0"/>
          <w:sz w:val="31"/>
          <w:szCs w:val="31"/>
          <w:shd w:val="clear" w:fill="FFFFFF"/>
          <w:lang w:eastAsia="zh-CN"/>
        </w:rPr>
        <w:t>八</w:t>
      </w:r>
      <w:r>
        <w:rPr>
          <w:rFonts w:hint="eastAsia" w:ascii="黑体" w:hAnsi="宋体" w:eastAsia="黑体" w:cs="黑体"/>
          <w:i w:val="0"/>
          <w:iCs w:val="0"/>
          <w:caps w:val="0"/>
          <w:color w:val="333333"/>
          <w:spacing w:val="0"/>
          <w:sz w:val="31"/>
          <w:szCs w:val="31"/>
          <w:shd w:val="clear" w:fill="FFFFFF"/>
        </w:rPr>
        <w:t>、投标截止日期</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00"/>
        <w:jc w:val="left"/>
        <w:rPr>
          <w:rFonts w:hint="eastAsia" w:ascii="微软雅黑" w:hAnsi="微软雅黑" w:eastAsia="微软雅黑" w:cs="微软雅黑"/>
          <w:i w:val="0"/>
          <w:iCs w:val="0"/>
          <w:caps w:val="0"/>
          <w:color w:val="333333"/>
          <w:spacing w:val="0"/>
          <w:sz w:val="18"/>
          <w:szCs w:val="18"/>
        </w:rPr>
      </w:pPr>
      <w:r>
        <w:rPr>
          <w:rStyle w:val="10"/>
          <w:rFonts w:hint="default" w:ascii="仿宋_GB2312" w:hAnsi="微软雅黑" w:eastAsia="仿宋_GB2312" w:cs="仿宋_GB2312"/>
          <w:i w:val="0"/>
          <w:iCs w:val="0"/>
          <w:caps w:val="0"/>
          <w:color w:val="333333"/>
          <w:spacing w:val="0"/>
          <w:sz w:val="31"/>
          <w:szCs w:val="31"/>
          <w:shd w:val="clear" w:fill="FFFFFF"/>
        </w:rPr>
        <w:t>投标截止时间：</w:t>
      </w:r>
      <w:r>
        <w:rPr>
          <w:rFonts w:hint="default" w:ascii="仿宋_GB2312" w:hAnsi="微软雅黑" w:eastAsia="仿宋_GB2312" w:cs="仿宋_GB2312"/>
          <w:i w:val="0"/>
          <w:iCs w:val="0"/>
          <w:caps w:val="0"/>
          <w:color w:val="333333"/>
          <w:spacing w:val="0"/>
          <w:sz w:val="31"/>
          <w:szCs w:val="31"/>
          <w:shd w:val="clear" w:fill="FFFFFF"/>
        </w:rPr>
        <w:t>2023年9月</w:t>
      </w:r>
      <w:r>
        <w:rPr>
          <w:rFonts w:hint="eastAsia" w:ascii="仿宋_GB2312" w:hAnsi="微软雅黑" w:eastAsia="仿宋_GB2312" w:cs="仿宋_GB2312"/>
          <w:i w:val="0"/>
          <w:iCs w:val="0"/>
          <w:caps w:val="0"/>
          <w:color w:val="333333"/>
          <w:spacing w:val="0"/>
          <w:sz w:val="31"/>
          <w:szCs w:val="31"/>
          <w:shd w:val="clear" w:fill="FFFFFF"/>
          <w:lang w:val="en-US" w:eastAsia="zh-CN"/>
        </w:rPr>
        <w:t xml:space="preserve"> 28 </w:t>
      </w:r>
      <w:r>
        <w:rPr>
          <w:rFonts w:hint="default" w:ascii="仿宋_GB2312" w:hAnsi="微软雅黑" w:eastAsia="仿宋_GB2312" w:cs="仿宋_GB2312"/>
          <w:i w:val="0"/>
          <w:iCs w:val="0"/>
          <w:caps w:val="0"/>
          <w:color w:val="333333"/>
          <w:spacing w:val="0"/>
          <w:sz w:val="31"/>
          <w:szCs w:val="31"/>
          <w:shd w:val="clear" w:fill="FFFFFF"/>
        </w:rPr>
        <w:t>日1</w:t>
      </w:r>
      <w:r>
        <w:rPr>
          <w:rFonts w:hint="eastAsia" w:ascii="仿宋_GB2312" w:hAnsi="微软雅黑" w:eastAsia="仿宋_GB2312" w:cs="仿宋_GB2312"/>
          <w:i w:val="0"/>
          <w:iCs w:val="0"/>
          <w:caps w:val="0"/>
          <w:color w:val="333333"/>
          <w:spacing w:val="0"/>
          <w:sz w:val="31"/>
          <w:szCs w:val="31"/>
          <w:shd w:val="clear" w:fill="FFFFFF"/>
          <w:lang w:val="en-US" w:eastAsia="zh-CN"/>
        </w:rPr>
        <w:t>2</w:t>
      </w:r>
      <w:r>
        <w:rPr>
          <w:rFonts w:hint="default" w:ascii="仿宋_GB2312" w:hAnsi="微软雅黑" w:eastAsia="仿宋_GB2312" w:cs="仿宋_GB2312"/>
          <w:i w:val="0"/>
          <w:iCs w:val="0"/>
          <w:caps w:val="0"/>
          <w:color w:val="333333"/>
          <w:spacing w:val="0"/>
          <w:sz w:val="31"/>
          <w:szCs w:val="31"/>
          <w:shd w:val="clear" w:fill="FFFFFF"/>
        </w:rPr>
        <w:t>:00（以收到投标文件时间为准）。</w:t>
      </w:r>
    </w:p>
    <w:p>
      <w:pPr>
        <w:keepNext w:val="0"/>
        <w:keepLines w:val="0"/>
        <w:widowControl/>
        <w:suppressLineNumbers w:val="0"/>
        <w:jc w:val="left"/>
      </w:pPr>
      <w:r>
        <w:rPr>
          <w:rFonts w:hint="eastAsia" w:ascii="黑体" w:hAnsi="宋体" w:eastAsia="黑体" w:cs="黑体"/>
          <w:i w:val="0"/>
          <w:iCs w:val="0"/>
          <w:caps w:val="0"/>
          <w:color w:val="333333"/>
          <w:spacing w:val="0"/>
          <w:kern w:val="0"/>
          <w:sz w:val="31"/>
          <w:szCs w:val="31"/>
          <w:shd w:val="clear" w:fill="FFFFFF"/>
          <w:lang w:val="en-US" w:eastAsia="zh-CN" w:bidi="ar"/>
        </w:rPr>
        <w:t>九、其它：</w:t>
      </w:r>
      <w:r>
        <w:rPr>
          <w:rFonts w:hint="eastAsia" w:ascii="宋体" w:hAnsi="宋体" w:eastAsia="宋体" w:cs="宋体"/>
          <w:b/>
          <w:bCs/>
          <w:color w:val="000000"/>
          <w:kern w:val="0"/>
          <w:sz w:val="20"/>
          <w:szCs w:val="20"/>
          <w:lang w:val="en-US" w:eastAsia="zh-CN" w:bidi="ar"/>
        </w:rPr>
        <w:t xml:space="preserve"> </w:t>
      </w:r>
    </w:p>
    <w:p>
      <w:pPr>
        <w:keepNext w:val="0"/>
        <w:keepLines w:val="0"/>
        <w:widowControl/>
        <w:suppressLineNumbers w:val="0"/>
        <w:ind w:firstLine="620" w:firstLineChars="200"/>
        <w:jc w:val="left"/>
        <w:rPr>
          <w:rFonts w:hint="eastAsia"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 xml:space="preserve">1、任何单位不得在竞标过程中相互通标、串标，否则永久取消投标资格。 </w:t>
      </w:r>
    </w:p>
    <w:p>
      <w:pPr>
        <w:keepNext w:val="0"/>
        <w:keepLines w:val="0"/>
        <w:widowControl/>
        <w:suppressLineNumbers w:val="0"/>
        <w:ind w:firstLine="620" w:firstLineChars="200"/>
        <w:jc w:val="left"/>
        <w:rPr>
          <w:rFonts w:hint="eastAsia"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 xml:space="preserve">2.本招标公告需盖章确认后连同投标书一并装入文件袋，二者缺一为无效标； </w:t>
      </w:r>
    </w:p>
    <w:p>
      <w:pPr>
        <w:keepNext w:val="0"/>
        <w:keepLines w:val="0"/>
        <w:widowControl/>
        <w:suppressLineNumbers w:val="0"/>
        <w:ind w:firstLine="620" w:firstLineChars="200"/>
        <w:jc w:val="left"/>
        <w:rPr>
          <w:rFonts w:hint="eastAsia" w:ascii="仿宋_GB2312" w:hAnsi="微软雅黑" w:eastAsia="仿宋_GB2312" w:cs="仿宋_GB2312"/>
          <w:i w:val="0"/>
          <w:iCs w:val="0"/>
          <w:caps w:val="0"/>
          <w:color w:val="333333"/>
          <w:spacing w:val="0"/>
          <w:kern w:val="0"/>
          <w:sz w:val="31"/>
          <w:szCs w:val="31"/>
          <w:shd w:val="clear" w:fill="FFFFFF"/>
          <w:lang w:val="en-US" w:eastAsia="zh-CN" w:bidi="ar"/>
        </w:rPr>
      </w:pP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3、如遇特殊情况或其它未说明事项我公司有权做出相对应的调整，最终解释权归</w:t>
      </w:r>
      <w:r>
        <w:rPr>
          <w:rFonts w:ascii="仿宋_GB2312" w:hAnsi="微软雅黑" w:eastAsia="仿宋_GB2312" w:cs="仿宋_GB2312"/>
          <w:i w:val="0"/>
          <w:iCs w:val="0"/>
          <w:caps w:val="0"/>
          <w:color w:val="333333"/>
          <w:spacing w:val="0"/>
          <w:sz w:val="31"/>
          <w:szCs w:val="31"/>
          <w:shd w:val="clear" w:fill="FFFFFF"/>
        </w:rPr>
        <w:t>福建中晶科技有限公司</w:t>
      </w: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 xml:space="preserve">采购工作小组。 </w:t>
      </w:r>
    </w:p>
    <w:p>
      <w:pPr>
        <w:keepNext w:val="0"/>
        <w:keepLines w:val="0"/>
        <w:widowControl/>
        <w:suppressLineNumbers w:val="0"/>
        <w:jc w:val="left"/>
        <w:rPr>
          <w:rFonts w:hint="eastAsia" w:ascii="微软雅黑" w:hAnsi="微软雅黑" w:eastAsia="微软雅黑" w:cs="微软雅黑"/>
          <w:i w:val="0"/>
          <w:iCs w:val="0"/>
          <w:caps w:val="0"/>
          <w:color w:val="333333"/>
          <w:spacing w:val="0"/>
          <w:sz w:val="18"/>
          <w:szCs w:val="18"/>
        </w:rPr>
      </w:pPr>
      <w:r>
        <w:rPr>
          <w:rFonts w:hint="eastAsia" w:ascii="黑体" w:hAnsi="宋体" w:eastAsia="黑体" w:cs="黑体"/>
          <w:i w:val="0"/>
          <w:iCs w:val="0"/>
          <w:caps w:val="0"/>
          <w:color w:val="333333"/>
          <w:spacing w:val="0"/>
          <w:kern w:val="0"/>
          <w:sz w:val="31"/>
          <w:szCs w:val="31"/>
          <w:shd w:val="clear" w:fill="FFFFFF"/>
          <w:lang w:val="en-US" w:eastAsia="zh-CN" w:bidi="ar"/>
        </w:rPr>
        <w:t>十、</w:t>
      </w:r>
      <w:r>
        <w:rPr>
          <w:rFonts w:hint="eastAsia" w:ascii="黑体" w:hAnsi="宋体" w:eastAsia="黑体" w:cs="黑体"/>
          <w:i w:val="0"/>
          <w:iCs w:val="0"/>
          <w:caps w:val="0"/>
          <w:color w:val="333333"/>
          <w:spacing w:val="0"/>
          <w:sz w:val="31"/>
          <w:szCs w:val="31"/>
          <w:shd w:val="clear" w:fill="FFFFFF"/>
        </w:rPr>
        <w:t>、报名方式、邮寄地址</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15"/>
        <w:jc w:val="left"/>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参选材料须在规定的投标截止期限前快递或直接密封送达至我司且在快递外包装袋上注明“</w:t>
      </w:r>
      <w:r>
        <w:rPr>
          <w:rFonts w:hint="eastAsia" w:ascii="仿宋_GB2312" w:hAnsi="微软雅黑" w:eastAsia="仿宋_GB2312" w:cs="仿宋_GB2312"/>
          <w:i w:val="0"/>
          <w:iCs w:val="0"/>
          <w:caps w:val="0"/>
          <w:color w:val="333333"/>
          <w:spacing w:val="0"/>
          <w:sz w:val="31"/>
          <w:szCs w:val="31"/>
          <w:shd w:val="clear" w:fill="FFFFFF"/>
          <w:lang w:eastAsia="zh-CN"/>
        </w:rPr>
        <w:t>污染源水质在线监测站</w:t>
      </w:r>
      <w:r>
        <w:rPr>
          <w:rFonts w:hint="default" w:ascii="仿宋_GB2312" w:hAnsi="微软雅黑" w:eastAsia="仿宋_GB2312" w:cs="仿宋_GB2312"/>
          <w:i w:val="0"/>
          <w:iCs w:val="0"/>
          <w:caps w:val="0"/>
          <w:color w:val="333333"/>
          <w:spacing w:val="0"/>
          <w:sz w:val="31"/>
          <w:szCs w:val="31"/>
          <w:shd w:val="clear" w:fill="FFFFFF"/>
        </w:rPr>
        <w:t>”</w:t>
      </w:r>
      <w:r>
        <w:rPr>
          <w:rFonts w:hint="eastAsia" w:ascii="仿宋" w:hAnsi="仿宋" w:eastAsia="仿宋" w:cs="仿宋"/>
          <w:i w:val="0"/>
          <w:iCs w:val="0"/>
          <w:caps w:val="0"/>
          <w:color w:val="333333"/>
          <w:spacing w:val="0"/>
          <w:sz w:val="31"/>
          <w:szCs w:val="31"/>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15"/>
        <w:jc w:val="left"/>
        <w:rPr>
          <w:rFonts w:hint="eastAsia" w:ascii="微软雅黑" w:hAnsi="微软雅黑" w:eastAsia="微软雅黑" w:cs="微软雅黑"/>
          <w:i w:val="0"/>
          <w:iCs w:val="0"/>
          <w:caps w:val="0"/>
          <w:color w:val="333333"/>
          <w:spacing w:val="0"/>
          <w:sz w:val="18"/>
          <w:szCs w:val="18"/>
        </w:rPr>
      </w:pPr>
      <w:r>
        <w:rPr>
          <w:rFonts w:hint="eastAsia" w:ascii="仿宋" w:hAnsi="仿宋" w:eastAsia="仿宋" w:cs="仿宋"/>
          <w:i w:val="0"/>
          <w:iCs w:val="0"/>
          <w:caps w:val="0"/>
          <w:color w:val="333333"/>
          <w:spacing w:val="0"/>
          <w:sz w:val="31"/>
          <w:szCs w:val="31"/>
          <w:shd w:val="clear" w:fill="FFFFFF"/>
        </w:rPr>
        <w:t>邮寄地址：龙岩市永定区高陂镇永定工业园区福建中晶科技有限公司。</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15"/>
        <w:jc w:val="left"/>
        <w:rPr>
          <w:rFonts w:hint="eastAsia" w:ascii="微软雅黑" w:hAnsi="微软雅黑" w:eastAsia="微软雅黑" w:cs="微软雅黑"/>
          <w:i w:val="0"/>
          <w:iCs w:val="0"/>
          <w:caps w:val="0"/>
          <w:color w:val="333333"/>
          <w:spacing w:val="0"/>
          <w:sz w:val="18"/>
          <w:szCs w:val="18"/>
        </w:rPr>
      </w:pPr>
      <w:r>
        <w:rPr>
          <w:rFonts w:hint="eastAsia" w:ascii="仿宋" w:hAnsi="仿宋" w:eastAsia="仿宋" w:cs="仿宋"/>
          <w:i w:val="0"/>
          <w:iCs w:val="0"/>
          <w:caps w:val="0"/>
          <w:color w:val="333333"/>
          <w:spacing w:val="0"/>
          <w:sz w:val="31"/>
          <w:szCs w:val="31"/>
          <w:shd w:val="clear" w:fill="FFFFFF"/>
        </w:rPr>
        <w:t>邮寄收件联系人：吴女士         </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15"/>
        <w:jc w:val="left"/>
        <w:rPr>
          <w:rFonts w:hint="eastAsia" w:ascii="微软雅黑" w:hAnsi="微软雅黑" w:eastAsia="微软雅黑" w:cs="微软雅黑"/>
          <w:i w:val="0"/>
          <w:iCs w:val="0"/>
          <w:caps w:val="0"/>
          <w:color w:val="333333"/>
          <w:spacing w:val="0"/>
          <w:sz w:val="18"/>
          <w:szCs w:val="18"/>
        </w:rPr>
      </w:pPr>
      <w:r>
        <w:rPr>
          <w:rFonts w:hint="eastAsia" w:ascii="仿宋" w:hAnsi="仿宋" w:eastAsia="仿宋" w:cs="仿宋"/>
          <w:i w:val="0"/>
          <w:iCs w:val="0"/>
          <w:caps w:val="0"/>
          <w:color w:val="333333"/>
          <w:spacing w:val="0"/>
          <w:sz w:val="31"/>
          <w:szCs w:val="31"/>
          <w:shd w:val="clear" w:fill="FFFFFF"/>
        </w:rPr>
        <w:t>联系电话：19906970336  </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15"/>
        <w:jc w:val="left"/>
        <w:rPr>
          <w:rFonts w:hint="eastAsia" w:ascii="微软雅黑" w:hAnsi="微软雅黑" w:eastAsia="仿宋" w:cs="微软雅黑"/>
          <w:i w:val="0"/>
          <w:iCs w:val="0"/>
          <w:caps w:val="0"/>
          <w:color w:val="333333"/>
          <w:spacing w:val="0"/>
          <w:sz w:val="18"/>
          <w:szCs w:val="18"/>
          <w:lang w:eastAsia="zh-CN"/>
        </w:rPr>
      </w:pPr>
      <w:r>
        <w:rPr>
          <w:rFonts w:hint="eastAsia" w:ascii="仿宋" w:hAnsi="仿宋" w:eastAsia="仿宋" w:cs="仿宋"/>
          <w:i w:val="0"/>
          <w:iCs w:val="0"/>
          <w:caps w:val="0"/>
          <w:color w:val="333333"/>
          <w:spacing w:val="0"/>
          <w:sz w:val="31"/>
          <w:szCs w:val="31"/>
          <w:shd w:val="clear" w:fill="FFFFFF"/>
        </w:rPr>
        <w:t>业务联系人：</w:t>
      </w:r>
      <w:r>
        <w:rPr>
          <w:rFonts w:hint="eastAsia" w:ascii="仿宋" w:hAnsi="仿宋" w:eastAsia="仿宋" w:cs="仿宋"/>
          <w:i w:val="0"/>
          <w:iCs w:val="0"/>
          <w:caps w:val="0"/>
          <w:color w:val="333333"/>
          <w:spacing w:val="0"/>
          <w:sz w:val="31"/>
          <w:szCs w:val="31"/>
          <w:shd w:val="clear" w:fill="FFFFFF"/>
          <w:lang w:eastAsia="zh-CN"/>
        </w:rPr>
        <w:t>王先生</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15"/>
        <w:jc w:val="left"/>
        <w:rPr>
          <w:rFonts w:hint="default" w:ascii="微软雅黑" w:hAnsi="微软雅黑" w:eastAsia="仿宋" w:cs="微软雅黑"/>
          <w:i w:val="0"/>
          <w:iCs w:val="0"/>
          <w:caps w:val="0"/>
          <w:color w:val="333333"/>
          <w:spacing w:val="0"/>
          <w:sz w:val="18"/>
          <w:szCs w:val="18"/>
          <w:lang w:val="en-US" w:eastAsia="zh-CN"/>
        </w:rPr>
      </w:pPr>
      <w:r>
        <w:rPr>
          <w:rFonts w:hint="eastAsia" w:ascii="仿宋" w:hAnsi="仿宋" w:eastAsia="仿宋" w:cs="仿宋"/>
          <w:i w:val="0"/>
          <w:iCs w:val="0"/>
          <w:caps w:val="0"/>
          <w:color w:val="333333"/>
          <w:spacing w:val="0"/>
          <w:sz w:val="31"/>
          <w:szCs w:val="31"/>
          <w:shd w:val="clear" w:fill="FFFFFF"/>
        </w:rPr>
        <w:t>联系方式：</w:t>
      </w:r>
      <w:r>
        <w:rPr>
          <w:rFonts w:hint="eastAsia" w:ascii="仿宋" w:hAnsi="仿宋" w:eastAsia="仿宋" w:cs="仿宋"/>
          <w:i w:val="0"/>
          <w:iCs w:val="0"/>
          <w:caps w:val="0"/>
          <w:color w:val="333333"/>
          <w:spacing w:val="0"/>
          <w:sz w:val="31"/>
          <w:szCs w:val="31"/>
          <w:shd w:val="clear" w:fill="FFFFFF"/>
          <w:lang w:val="en-US" w:eastAsia="zh-CN"/>
        </w:rPr>
        <w:t>15860166368</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55" w:lineRule="atLeast"/>
        <w:ind w:right="0"/>
        <w:jc w:val="left"/>
        <w:rPr>
          <w:rFonts w:hint="eastAsia" w:ascii="微软雅黑" w:hAnsi="微软雅黑" w:eastAsia="微软雅黑" w:cs="微软雅黑"/>
          <w:i w:val="0"/>
          <w:iCs w:val="0"/>
          <w:caps w:val="0"/>
          <w:color w:val="333333"/>
          <w:spacing w:val="0"/>
          <w:sz w:val="18"/>
          <w:szCs w:val="18"/>
        </w:rPr>
      </w:pPr>
      <w:r>
        <w:rPr>
          <w:rFonts w:hint="eastAsia" w:ascii="黑体" w:hAnsi="宋体" w:eastAsia="黑体" w:cs="黑体"/>
          <w:i w:val="0"/>
          <w:iCs w:val="0"/>
          <w:caps w:val="0"/>
          <w:color w:val="333333"/>
          <w:spacing w:val="0"/>
          <w:sz w:val="31"/>
          <w:szCs w:val="31"/>
          <w:shd w:val="clear" w:fill="FFFFFF"/>
          <w:lang w:eastAsia="zh-CN"/>
        </w:rPr>
        <w:t>十一</w:t>
      </w:r>
      <w:r>
        <w:rPr>
          <w:rFonts w:hint="eastAsia" w:ascii="黑体" w:hAnsi="宋体" w:eastAsia="黑体" w:cs="黑体"/>
          <w:i w:val="0"/>
          <w:iCs w:val="0"/>
          <w:caps w:val="0"/>
          <w:color w:val="333333"/>
          <w:spacing w:val="0"/>
          <w:sz w:val="31"/>
          <w:szCs w:val="31"/>
          <w:shd w:val="clear" w:fill="FFFFFF"/>
        </w:rPr>
        <w:t>、投标材料</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15"/>
        <w:jc w:val="left"/>
        <w:rPr>
          <w:rFonts w:hint="eastAsia" w:ascii="微软雅黑" w:hAnsi="微软雅黑" w:eastAsia="微软雅黑" w:cs="微软雅黑"/>
          <w:i w:val="0"/>
          <w:iCs w:val="0"/>
          <w:caps w:val="0"/>
          <w:color w:val="333333"/>
          <w:spacing w:val="0"/>
          <w:sz w:val="18"/>
          <w:szCs w:val="18"/>
        </w:rPr>
      </w:pPr>
      <w:r>
        <w:rPr>
          <w:rFonts w:hint="eastAsia" w:ascii="仿宋" w:hAnsi="仿宋" w:eastAsia="仿宋" w:cs="仿宋"/>
          <w:i w:val="0"/>
          <w:iCs w:val="0"/>
          <w:caps w:val="0"/>
          <w:color w:val="333333"/>
          <w:spacing w:val="0"/>
          <w:sz w:val="31"/>
          <w:szCs w:val="31"/>
          <w:shd w:val="clear" w:fill="FFFFFF"/>
        </w:rPr>
        <w:t>1.营业执照复印件（加盖公章）；</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15"/>
        <w:jc w:val="left"/>
        <w:rPr>
          <w:rFonts w:hint="eastAsia" w:ascii="微软雅黑" w:hAnsi="微软雅黑" w:eastAsia="微软雅黑" w:cs="微软雅黑"/>
          <w:i w:val="0"/>
          <w:iCs w:val="0"/>
          <w:caps w:val="0"/>
          <w:color w:val="333333"/>
          <w:spacing w:val="0"/>
          <w:sz w:val="18"/>
          <w:szCs w:val="18"/>
        </w:rPr>
      </w:pPr>
      <w:r>
        <w:rPr>
          <w:rFonts w:hint="eastAsia" w:ascii="仿宋" w:hAnsi="仿宋" w:eastAsia="仿宋" w:cs="仿宋"/>
          <w:i w:val="0"/>
          <w:iCs w:val="0"/>
          <w:caps w:val="0"/>
          <w:color w:val="333333"/>
          <w:spacing w:val="0"/>
          <w:sz w:val="31"/>
          <w:szCs w:val="31"/>
          <w:shd w:val="clear" w:fill="FFFFFF"/>
        </w:rPr>
        <w:t>2.法人身份证复印件（加盖公章）；</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00"/>
        <w:jc w:val="left"/>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3.报价函原件（须加盖公章）；</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00"/>
        <w:jc w:val="left"/>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4.技术要求及售后服务（须加盖公章）。</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55" w:lineRule="atLeast"/>
        <w:ind w:right="0"/>
        <w:jc w:val="left"/>
        <w:rPr>
          <w:rFonts w:hint="eastAsia" w:ascii="微软雅黑" w:hAnsi="微软雅黑" w:eastAsia="微软雅黑" w:cs="微软雅黑"/>
          <w:i w:val="0"/>
          <w:iCs w:val="0"/>
          <w:caps w:val="0"/>
          <w:color w:val="333333"/>
          <w:spacing w:val="0"/>
          <w:sz w:val="18"/>
          <w:szCs w:val="18"/>
        </w:rPr>
      </w:pPr>
      <w:r>
        <w:rPr>
          <w:rFonts w:hint="eastAsia" w:ascii="黑体" w:hAnsi="宋体" w:eastAsia="黑体" w:cs="黑体"/>
          <w:i w:val="0"/>
          <w:iCs w:val="0"/>
          <w:caps w:val="0"/>
          <w:color w:val="333333"/>
          <w:spacing w:val="0"/>
          <w:sz w:val="31"/>
          <w:szCs w:val="31"/>
          <w:shd w:val="clear" w:fill="FFFFFF"/>
          <w:lang w:eastAsia="zh-CN"/>
        </w:rPr>
        <w:t>十二</w:t>
      </w:r>
      <w:r>
        <w:rPr>
          <w:rFonts w:hint="eastAsia" w:ascii="黑体" w:hAnsi="宋体" w:eastAsia="黑体" w:cs="黑体"/>
          <w:i w:val="0"/>
          <w:iCs w:val="0"/>
          <w:caps w:val="0"/>
          <w:color w:val="333333"/>
          <w:spacing w:val="0"/>
          <w:sz w:val="31"/>
          <w:szCs w:val="31"/>
          <w:shd w:val="clear" w:fill="FFFFFF"/>
        </w:rPr>
        <w:t>、其他要求</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00"/>
        <w:jc w:val="left"/>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参选人在参与本次比选过程中须严格遵守国家有关法律法规、相关政策及廉洁从业的各项规定。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left"/>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     中标人需在收到中标通知书5个工作日内与招标方签订合同。</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15"/>
        <w:jc w:val="left"/>
        <w:rPr>
          <w:rFonts w:hint="eastAsia" w:ascii="微软雅黑" w:hAnsi="微软雅黑" w:eastAsia="微软雅黑" w:cs="微软雅黑"/>
          <w:i w:val="0"/>
          <w:iCs w:val="0"/>
          <w:caps w:val="0"/>
          <w:color w:val="333333"/>
          <w:spacing w:val="0"/>
          <w:sz w:val="18"/>
          <w:szCs w:val="18"/>
        </w:rPr>
      </w:pPr>
      <w:r>
        <w:rPr>
          <w:rStyle w:val="10"/>
          <w:rFonts w:hint="default" w:ascii="仿宋_GB2312" w:hAnsi="微软雅黑" w:eastAsia="仿宋_GB2312" w:cs="仿宋_GB2312"/>
          <w:i w:val="0"/>
          <w:iCs w:val="0"/>
          <w:caps w:val="0"/>
          <w:color w:val="333333"/>
          <w:spacing w:val="0"/>
          <w:sz w:val="31"/>
          <w:szCs w:val="31"/>
          <w:shd w:val="clear" w:fill="FFFFFF"/>
        </w:rPr>
        <w:t>附件：</w:t>
      </w:r>
      <w:r>
        <w:rPr>
          <w:rFonts w:hint="default" w:ascii="仿宋_GB2312" w:hAnsi="微软雅黑" w:eastAsia="仿宋_GB2312" w:cs="仿宋_GB2312"/>
          <w:i w:val="0"/>
          <w:iCs w:val="0"/>
          <w:caps w:val="0"/>
          <w:color w:val="333333"/>
          <w:spacing w:val="0"/>
          <w:sz w:val="31"/>
          <w:szCs w:val="31"/>
          <w:shd w:val="clear" w:fill="FFFFFF"/>
        </w:rPr>
        <w:t>1.技术要求</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990" w:right="0" w:firstLine="0"/>
        <w:jc w:val="left"/>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    2.报价函</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left"/>
        <w:rPr>
          <w:rFonts w:hint="default" w:ascii="仿宋_GB2312" w:hAnsi="微软雅黑" w:eastAsia="仿宋_GB2312" w:cs="仿宋_GB2312"/>
          <w:i w:val="0"/>
          <w:iCs w:val="0"/>
          <w:caps w:val="0"/>
          <w:color w:val="333333"/>
          <w:spacing w:val="0"/>
          <w:sz w:val="31"/>
          <w:szCs w:val="31"/>
          <w:shd w:val="clear" w:fill="FFFFFF"/>
        </w:rPr>
      </w:pPr>
      <w:r>
        <w:rPr>
          <w:rFonts w:hint="default" w:ascii="仿宋_GB2312" w:hAnsi="微软雅黑" w:eastAsia="仿宋_GB2312" w:cs="仿宋_GB2312"/>
          <w:i w:val="0"/>
          <w:iCs w:val="0"/>
          <w:caps w:val="0"/>
          <w:color w:val="333333"/>
          <w:spacing w:val="0"/>
          <w:sz w:val="31"/>
          <w:szCs w:val="31"/>
          <w:shd w:val="clear" w:fill="FFFFFF"/>
        </w:rPr>
        <w:t>附件1：</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hint="eastAsia" w:ascii="微软雅黑" w:hAnsi="微软雅黑" w:eastAsia="微软雅黑" w:cs="微软雅黑"/>
          <w:b/>
          <w:bCs/>
          <w:i w:val="0"/>
          <w:iCs w:val="0"/>
          <w:caps w:val="0"/>
          <w:color w:val="333333"/>
          <w:spacing w:val="0"/>
          <w:sz w:val="18"/>
          <w:szCs w:val="18"/>
        </w:rPr>
      </w:pPr>
      <w:r>
        <w:rPr>
          <w:rFonts w:hint="eastAsia" w:ascii="仿宋_GB2312" w:hAnsi="微软雅黑" w:eastAsia="仿宋_GB2312" w:cs="仿宋_GB2312"/>
          <w:b/>
          <w:bCs/>
          <w:i w:val="0"/>
          <w:iCs w:val="0"/>
          <w:caps w:val="0"/>
          <w:color w:val="333333"/>
          <w:spacing w:val="0"/>
          <w:sz w:val="31"/>
          <w:szCs w:val="31"/>
          <w:shd w:val="clear" w:fill="FFFFFF"/>
          <w:lang w:eastAsia="zh-CN"/>
        </w:rPr>
        <w:t>污染源水质在线监测系统设备性能指标要求</w:t>
      </w:r>
    </w:p>
    <w:p>
      <w:pPr>
        <w:pStyle w:val="7"/>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615" w:right="0" w:firstLine="0"/>
        <w:jc w:val="both"/>
        <w:rPr>
          <w:rFonts w:hint="eastAsia" w:ascii="仿宋_GB2312" w:hAnsi="微软雅黑" w:eastAsia="仿宋_GB2312" w:cs="仿宋_GB2312"/>
          <w:b/>
          <w:bCs/>
          <w:i w:val="0"/>
          <w:iCs w:val="0"/>
          <w:caps w:val="0"/>
          <w:color w:val="333333"/>
          <w:spacing w:val="0"/>
          <w:sz w:val="31"/>
          <w:szCs w:val="31"/>
          <w:shd w:val="clear" w:fill="FFFFFF"/>
          <w:lang w:eastAsia="zh-CN"/>
        </w:rPr>
      </w:pPr>
      <w:r>
        <w:rPr>
          <w:rFonts w:hint="eastAsia" w:ascii="仿宋_GB2312" w:hAnsi="微软雅黑" w:eastAsia="仿宋_GB2312" w:cs="仿宋_GB2312"/>
          <w:b/>
          <w:bCs/>
          <w:i w:val="0"/>
          <w:iCs w:val="0"/>
          <w:caps w:val="0"/>
          <w:color w:val="333333"/>
          <w:spacing w:val="0"/>
          <w:sz w:val="31"/>
          <w:szCs w:val="31"/>
          <w:shd w:val="clear" w:fill="FFFFFF"/>
          <w:lang w:eastAsia="zh-CN"/>
        </w:rPr>
        <w:t> 污染源水质在线监测系统设备性能指标要求</w:t>
      </w:r>
    </w:p>
    <w:p>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jc w:val="both"/>
        <w:rPr>
          <w:rFonts w:hint="eastAsia" w:cs="Times New Roman"/>
          <w:b/>
          <w:bCs/>
        </w:rPr>
      </w:pPr>
      <w:r>
        <w:rPr>
          <w:rFonts w:cs="Times New Roman"/>
          <w:b/>
          <w:bCs/>
        </w:rPr>
        <w:t>（</w:t>
      </w:r>
      <w:r>
        <w:rPr>
          <w:rFonts w:hint="eastAsia" w:cs="Times New Roman"/>
          <w:b/>
          <w:bCs/>
          <w:lang w:eastAsia="zh-CN"/>
        </w:rPr>
        <w:t>一</w:t>
      </w:r>
      <w:r>
        <w:rPr>
          <w:rFonts w:cs="Times New Roman"/>
          <w:b/>
          <w:bCs/>
        </w:rPr>
        <w:t>）CODcr在线分析仪技术要求</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9"/>
        <w:gridCol w:w="6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509" w:type="dxa"/>
            <w:vAlign w:val="center"/>
          </w:tcPr>
          <w:p>
            <w:pPr>
              <w:spacing w:line="360" w:lineRule="auto"/>
              <w:jc w:val="center"/>
              <w:rPr>
                <w:b/>
                <w:color w:val="000000"/>
                <w:sz w:val="24"/>
                <w:szCs w:val="24"/>
              </w:rPr>
            </w:pPr>
            <w:r>
              <w:rPr>
                <w:b/>
                <w:color w:val="000000"/>
                <w:sz w:val="24"/>
                <w:szCs w:val="24"/>
              </w:rPr>
              <w:t>项目</w:t>
            </w:r>
          </w:p>
        </w:tc>
        <w:tc>
          <w:tcPr>
            <w:tcW w:w="6013" w:type="dxa"/>
            <w:vAlign w:val="center"/>
          </w:tcPr>
          <w:p>
            <w:pPr>
              <w:spacing w:line="360" w:lineRule="auto"/>
              <w:jc w:val="center"/>
              <w:rPr>
                <w:b/>
                <w:color w:val="000000"/>
                <w:sz w:val="24"/>
                <w:szCs w:val="24"/>
              </w:rPr>
            </w:pPr>
            <w:r>
              <w:rPr>
                <w:b/>
                <w:color w:val="000000"/>
                <w:sz w:val="24"/>
                <w:szCs w:val="24"/>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测量原理</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重铬酸钾氧化-分光光度法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测量范围</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(0～100/200/500) mg/L；量程可以根据客户需求定制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测量模式</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连续测量、周期测量、手动测量、远程触发测量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最小单次测量时间</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≤50min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重复性</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分辨率</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0.1mg/L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检出限</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零点漂移</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量程漂移</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±5.0% F.S.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电压稳定性</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数字通讯</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RS232/RS485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试剂混合</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反应单元内试剂混合采用气泡混匀技术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试剂余量</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试剂余量提示，缺试剂报警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MTBF</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≥720h/次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试剂更换周期</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一个月更换一次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▲取样与定量</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采用自带驱动的柱塞泵实现试剂的定量抽取，采用多通道选项阀，实现试剂切换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▲界面状态显示功能</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须具有界面状态显示功能，界面实时显示状态参数（如测量、标定；在线、离线；报警状态、运行进程）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2509"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▲一键性能测试功能</w:t>
            </w:r>
          </w:p>
        </w:tc>
        <w:tc>
          <w:tcPr>
            <w:tcW w:w="6013"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具备一键性能检验功能，包括零点漂移、量程漂移、示值误差、重复性、检出限测试，并自动计算测试结果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2509" w:type="dxa"/>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▲历史数据保持与导出功能</w:t>
            </w:r>
          </w:p>
        </w:tc>
        <w:tc>
          <w:tcPr>
            <w:tcW w:w="6013" w:type="dxa"/>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具备所有历史记录一键导出功能，可灵活设置导出数据的时间段及历史数据类型</w:t>
            </w:r>
          </w:p>
        </w:tc>
      </w:tr>
    </w:tbl>
    <w:p>
      <w:pPr>
        <w:rPr>
          <w:rFonts w:hint="eastAsia"/>
        </w:rPr>
      </w:pPr>
    </w:p>
    <w:p>
      <w:pPr>
        <w:pStyle w:val="5"/>
        <w:rPr>
          <w:rFonts w:hint="eastAsia" w:cs="Times New Roman"/>
        </w:rPr>
      </w:pPr>
      <w:bookmarkStart w:id="4" w:name="_Toc240799801"/>
      <w:r>
        <w:rPr>
          <w:rFonts w:cs="Times New Roman"/>
        </w:rPr>
        <w:t>（</w:t>
      </w:r>
      <w:r>
        <w:rPr>
          <w:rFonts w:hint="eastAsia" w:cs="Times New Roman"/>
          <w:lang w:eastAsia="zh-CN"/>
        </w:rPr>
        <w:t>二</w:t>
      </w:r>
      <w:r>
        <w:rPr>
          <w:rFonts w:cs="Times New Roman"/>
        </w:rPr>
        <w:t>）</w:t>
      </w:r>
      <w:bookmarkEnd w:id="4"/>
      <w:r>
        <w:rPr>
          <w:rFonts w:cs="Times New Roman"/>
        </w:rPr>
        <w:t>氨氮在线分析仪技术要求</w:t>
      </w:r>
    </w:p>
    <w:tbl>
      <w:tblPr>
        <w:tblStyle w:val="8"/>
        <w:tblW w:w="852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523"/>
        <w:gridCol w:w="599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vAlign w:val="center"/>
          </w:tcPr>
          <w:p>
            <w:pPr>
              <w:spacing w:line="360" w:lineRule="auto"/>
              <w:jc w:val="center"/>
              <w:rPr>
                <w:b/>
                <w:color w:val="000000"/>
                <w:sz w:val="24"/>
                <w:szCs w:val="24"/>
              </w:rPr>
            </w:pPr>
            <w:r>
              <w:rPr>
                <w:b/>
                <w:color w:val="000000"/>
                <w:sz w:val="24"/>
                <w:szCs w:val="24"/>
              </w:rPr>
              <w:t>项目</w:t>
            </w:r>
          </w:p>
        </w:tc>
        <w:tc>
          <w:tcPr>
            <w:tcW w:w="5999" w:type="dxa"/>
            <w:vAlign w:val="center"/>
          </w:tcPr>
          <w:p>
            <w:pPr>
              <w:spacing w:line="360" w:lineRule="auto"/>
              <w:jc w:val="center"/>
              <w:rPr>
                <w:b/>
                <w:color w:val="000000"/>
                <w:sz w:val="24"/>
                <w:szCs w:val="24"/>
              </w:rPr>
            </w:pPr>
            <w:r>
              <w:rPr>
                <w:b/>
                <w:color w:val="000000"/>
                <w:sz w:val="24"/>
                <w:szCs w:val="24"/>
              </w:rPr>
              <w:t>指标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测量原理</w:t>
            </w:r>
          </w:p>
        </w:tc>
        <w:tc>
          <w:tcPr>
            <w:tcW w:w="5999"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水杨酸分光光度法或纳氏试剂分光光度法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测量范围</w:t>
            </w:r>
          </w:p>
        </w:tc>
        <w:tc>
          <w:tcPr>
            <w:tcW w:w="5999"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（0-2/20/100）mg/L；量程可以根据客户需求定制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80" w:hRule="atLeast"/>
          <w:jc w:val="center"/>
        </w:trPr>
        <w:tc>
          <w:tcPr>
            <w:tcW w:w="2523"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测量模式</w:t>
            </w:r>
          </w:p>
        </w:tc>
        <w:tc>
          <w:tcPr>
            <w:tcW w:w="5999"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连续测量、周期测量、手动测量、远程触发测量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最小单次测量时间</w:t>
            </w:r>
          </w:p>
        </w:tc>
        <w:tc>
          <w:tcPr>
            <w:tcW w:w="5999"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≤30min</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重复性</w:t>
            </w:r>
          </w:p>
        </w:tc>
        <w:tc>
          <w:tcPr>
            <w:tcW w:w="5999"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分辨率</w:t>
            </w:r>
          </w:p>
        </w:tc>
        <w:tc>
          <w:tcPr>
            <w:tcW w:w="5999"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0.001mg/L</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检出限</w:t>
            </w:r>
          </w:p>
        </w:tc>
        <w:tc>
          <w:tcPr>
            <w:tcW w:w="5999"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0.005mg/L</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零点漂移</w:t>
            </w:r>
          </w:p>
        </w:tc>
        <w:tc>
          <w:tcPr>
            <w:tcW w:w="5999" w:type="dxa"/>
            <w:tcBorders>
              <w:top w:val="single" w:color="000000" w:sz="6" w:space="0"/>
              <w:left w:val="single" w:color="000000" w:sz="6" w:space="0"/>
              <w:bottom w:val="single" w:color="000000" w:sz="6" w:space="0"/>
              <w:right w:val="single" w:color="000000" w:sz="6" w:space="0"/>
            </w:tcBorders>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≤0.02mg/L</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量程漂移</w:t>
            </w:r>
          </w:p>
        </w:tc>
        <w:tc>
          <w:tcPr>
            <w:tcW w:w="5999" w:type="dxa"/>
            <w:tcBorders>
              <w:top w:val="single" w:color="000000" w:sz="6" w:space="0"/>
              <w:left w:val="single" w:color="000000" w:sz="6" w:space="0"/>
              <w:bottom w:val="single" w:color="000000" w:sz="6" w:space="0"/>
              <w:right w:val="single" w:color="000000" w:sz="6" w:space="0"/>
            </w:tcBorders>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数字通讯</w:t>
            </w:r>
          </w:p>
        </w:tc>
        <w:tc>
          <w:tcPr>
            <w:tcW w:w="5999"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RS232/RS485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试剂混合</w:t>
            </w:r>
          </w:p>
        </w:tc>
        <w:tc>
          <w:tcPr>
            <w:tcW w:w="5999"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反应单元内试剂混合采用气泡混匀技术</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试剂余量</w:t>
            </w:r>
          </w:p>
        </w:tc>
        <w:tc>
          <w:tcPr>
            <w:tcW w:w="5999"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试剂余量提示，缺试剂报警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MTBF</w:t>
            </w:r>
          </w:p>
        </w:tc>
        <w:tc>
          <w:tcPr>
            <w:tcW w:w="5999"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≥720h/次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试剂更换周期</w:t>
            </w:r>
          </w:p>
        </w:tc>
        <w:tc>
          <w:tcPr>
            <w:tcW w:w="5999"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一个月更换一次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▲取样与定量</w:t>
            </w:r>
          </w:p>
        </w:tc>
        <w:tc>
          <w:tcPr>
            <w:tcW w:w="5999"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采用自带驱动的柱塞泵实现试剂的定量抽取，采用多通道选项阀，实现试剂切换</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▲界面状态显示功能</w:t>
            </w:r>
          </w:p>
        </w:tc>
        <w:tc>
          <w:tcPr>
            <w:tcW w:w="5999"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须具有界面状态显示功能，界面实时显示状态参数（如测量、标定；在线、离线；报警状态、运行进程）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▲一键性能测试功能</w:t>
            </w:r>
          </w:p>
        </w:tc>
        <w:tc>
          <w:tcPr>
            <w:tcW w:w="5999" w:type="dxa"/>
            <w:tcBorders>
              <w:top w:val="single" w:color="000000" w:sz="6" w:space="0"/>
              <w:left w:val="single" w:color="000000" w:sz="6" w:space="0"/>
              <w:bottom w:val="single" w:color="000000" w:sz="6" w:space="0"/>
              <w:right w:val="single" w:color="000000" w:sz="6" w:space="0"/>
            </w:tcBorders>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具备一键性能检验功能，包括零点漂移、量程漂移、示值误差、重复性、检出限测试，并自动计算测试结果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523" w:type="dxa"/>
            <w:tcBorders>
              <w:top w:val="single" w:color="000000" w:sz="6" w:space="0"/>
              <w:left w:val="single" w:color="000000" w:sz="6" w:space="0"/>
              <w:bottom w:val="single" w:color="000000" w:sz="6" w:space="0"/>
              <w:right w:val="single" w:color="000000" w:sz="6" w:space="0"/>
            </w:tcBorders>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▲历史数据保持与导出功能</w:t>
            </w:r>
          </w:p>
        </w:tc>
        <w:tc>
          <w:tcPr>
            <w:tcW w:w="5999" w:type="dxa"/>
            <w:tcBorders>
              <w:top w:val="single" w:color="000000" w:sz="6" w:space="0"/>
              <w:left w:val="single" w:color="000000" w:sz="6" w:space="0"/>
              <w:bottom w:val="single" w:color="000000" w:sz="6" w:space="0"/>
              <w:right w:val="single" w:color="000000" w:sz="6" w:space="0"/>
            </w:tcBorders>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具备所有历史记录一键导出功能，可灵活设置导出数据的时间段及历史数据类型</w:t>
            </w:r>
          </w:p>
        </w:tc>
      </w:tr>
    </w:tbl>
    <w:p>
      <w:pPr>
        <w:pStyle w:val="5"/>
        <w:rPr>
          <w:rFonts w:cs="Times New Roman"/>
        </w:rPr>
      </w:pPr>
      <w:r>
        <w:rPr>
          <w:rFonts w:cs="Times New Roman"/>
        </w:rPr>
        <w:t>（</w:t>
      </w:r>
      <w:r>
        <w:rPr>
          <w:rFonts w:hint="eastAsia" w:cs="Times New Roman"/>
          <w:lang w:val="en-US" w:eastAsia="zh-CN"/>
        </w:rPr>
        <w:t>三</w:t>
      </w:r>
      <w:r>
        <w:rPr>
          <w:rFonts w:cs="Times New Roman"/>
        </w:rPr>
        <w:t>）pH在线分析仪技术要求</w:t>
      </w:r>
    </w:p>
    <w:tbl>
      <w:tblPr>
        <w:tblStyle w:val="8"/>
        <w:tblW w:w="83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1"/>
        <w:gridCol w:w="5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blHeader/>
          <w:jc w:val="center"/>
        </w:trPr>
        <w:tc>
          <w:tcPr>
            <w:tcW w:w="2981" w:type="dxa"/>
            <w:vAlign w:val="center"/>
          </w:tcPr>
          <w:p>
            <w:pPr>
              <w:spacing w:line="360" w:lineRule="auto"/>
              <w:jc w:val="center"/>
              <w:rPr>
                <w:rFonts w:hint="eastAsia" w:ascii="仿宋_GB2312" w:hAnsi="微软雅黑" w:eastAsia="仿宋_GB2312" w:cs="仿宋_GB2312"/>
                <w:b/>
                <w:bCs/>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b/>
                <w:bCs/>
                <w:i w:val="0"/>
                <w:iCs w:val="0"/>
                <w:caps w:val="0"/>
                <w:color w:val="333333"/>
                <w:spacing w:val="0"/>
                <w:kern w:val="0"/>
                <w:sz w:val="24"/>
                <w:szCs w:val="24"/>
                <w:shd w:val="clear" w:fill="FFFFFF"/>
                <w:lang w:val="en-US" w:eastAsia="zh-CN" w:bidi="ar"/>
              </w:rPr>
              <w:t>项目</w:t>
            </w:r>
          </w:p>
        </w:tc>
        <w:tc>
          <w:tcPr>
            <w:tcW w:w="5344" w:type="dxa"/>
            <w:vAlign w:val="center"/>
          </w:tcPr>
          <w:p>
            <w:pPr>
              <w:spacing w:line="360" w:lineRule="auto"/>
              <w:jc w:val="center"/>
              <w:rPr>
                <w:rFonts w:hint="eastAsia" w:ascii="仿宋_GB2312" w:hAnsi="微软雅黑" w:eastAsia="仿宋_GB2312" w:cs="仿宋_GB2312"/>
                <w:b/>
                <w:bCs/>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b/>
                <w:bCs/>
                <w:i w:val="0"/>
                <w:iCs w:val="0"/>
                <w:caps w:val="0"/>
                <w:color w:val="333333"/>
                <w:spacing w:val="0"/>
                <w:kern w:val="0"/>
                <w:sz w:val="24"/>
                <w:szCs w:val="24"/>
                <w:shd w:val="clear" w:fill="FFFFFF"/>
                <w:lang w:val="en-US" w:eastAsia="zh-CN" w:bidi="ar"/>
              </w:rPr>
              <w:t>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2981"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测定原理</w:t>
            </w:r>
          </w:p>
        </w:tc>
        <w:tc>
          <w:tcPr>
            <w:tcW w:w="5344"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玻璃电极法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2981"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量程</w:t>
            </w:r>
          </w:p>
        </w:tc>
        <w:tc>
          <w:tcPr>
            <w:tcW w:w="5344"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pH 0～14 （0～40 ℃），可调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2981"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漂移（pH=4、7、9）</w:t>
            </w:r>
          </w:p>
        </w:tc>
        <w:tc>
          <w:tcPr>
            <w:tcW w:w="5344"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±0.1 pH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981"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重复性</w:t>
            </w:r>
          </w:p>
        </w:tc>
        <w:tc>
          <w:tcPr>
            <w:tcW w:w="5344"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±0.1 pH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2981"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响应时间</w:t>
            </w:r>
          </w:p>
        </w:tc>
        <w:tc>
          <w:tcPr>
            <w:tcW w:w="5344"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≤30 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981"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温度补偿精度</w:t>
            </w:r>
          </w:p>
        </w:tc>
        <w:tc>
          <w:tcPr>
            <w:tcW w:w="5344"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±0.1 pH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981"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MTBF</w:t>
            </w:r>
          </w:p>
        </w:tc>
        <w:tc>
          <w:tcPr>
            <w:tcW w:w="5344"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≥720 h/次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981"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实际水样比对试验</w:t>
            </w:r>
          </w:p>
        </w:tc>
        <w:tc>
          <w:tcPr>
            <w:tcW w:w="5344" w:type="dxa"/>
            <w:vAlign w:val="center"/>
          </w:tcPr>
          <w:p>
            <w:pPr>
              <w:spacing w:line="360" w:lineRule="auto"/>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±0.1 pH</w:t>
            </w:r>
          </w:p>
        </w:tc>
      </w:tr>
    </w:tbl>
    <w:p>
      <w:pPr>
        <w:numPr>
          <w:ilvl w:val="0"/>
          <w:numId w:val="0"/>
        </w:numPr>
        <w:ind w:leftChars="0"/>
        <w:rPr>
          <w:rFonts w:hint="default"/>
          <w:lang w:val="en-US" w:eastAsia="zh-CN"/>
        </w:rPr>
      </w:pPr>
    </w:p>
    <w:p>
      <w:pPr>
        <w:pStyle w:val="4"/>
        <w:numPr>
          <w:ilvl w:val="3"/>
          <w:numId w:val="0"/>
        </w:numPr>
        <w:ind w:leftChars="0"/>
        <w:rPr>
          <w:rFonts w:eastAsia="宋体"/>
          <w:color w:val="000000"/>
        </w:rPr>
      </w:pPr>
      <w:r>
        <w:rPr>
          <w:rFonts w:hint="eastAsia" w:eastAsia="宋体"/>
          <w:color w:val="000000"/>
          <w:lang w:eastAsia="zh-CN"/>
        </w:rPr>
        <w:t>（四）、</w:t>
      </w:r>
      <w:r>
        <w:rPr>
          <w:rFonts w:eastAsia="宋体"/>
          <w:color w:val="000000"/>
        </w:rPr>
        <w:t>数据采集传输仪技术要求</w:t>
      </w:r>
    </w:p>
    <w:p>
      <w:pPr>
        <w:numPr>
          <w:ilvl w:val="0"/>
          <w:numId w:val="0"/>
        </w:numPr>
        <w:spacing w:line="360" w:lineRule="auto"/>
        <w:ind w:left="425" w:leftChars="0"/>
        <w:rPr>
          <w:rFonts w:cs="Times New Roman"/>
          <w:szCs w:val="24"/>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（1）仪表接口：模拟量输入：8路；开关量输入：4 路；开关量输出：2路；</w:t>
      </w:r>
    </w:p>
    <w:p>
      <w:pPr>
        <w:numPr>
          <w:ilvl w:val="0"/>
          <w:numId w:val="0"/>
        </w:numPr>
        <w:spacing w:line="360" w:lineRule="auto"/>
        <w:ind w:left="425" w:leftChars="0"/>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（2）电源：220VAC ± 15%  50HZ ± 5%；</w:t>
      </w:r>
    </w:p>
    <w:p>
      <w:pPr>
        <w:numPr>
          <w:ilvl w:val="0"/>
          <w:numId w:val="0"/>
        </w:numPr>
        <w:spacing w:line="360" w:lineRule="auto"/>
        <w:ind w:left="425" w:leftChars="0"/>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（3）后备电池：断电后自动切换锂电池供电；</w:t>
      </w:r>
    </w:p>
    <w:p>
      <w:pPr>
        <w:numPr>
          <w:ilvl w:val="0"/>
          <w:numId w:val="0"/>
        </w:numPr>
        <w:spacing w:line="360" w:lineRule="auto"/>
        <w:ind w:left="425" w:leftChars="0"/>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（4）安装结构：壁挂式，可选其它方式；</w:t>
      </w:r>
    </w:p>
    <w:p>
      <w:pPr>
        <w:numPr>
          <w:ilvl w:val="0"/>
          <w:numId w:val="0"/>
        </w:numPr>
        <w:spacing w:line="360" w:lineRule="auto"/>
        <w:ind w:left="425" w:leftChars="0"/>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（5）三防设计：防水、防尘、防破坏；</w:t>
      </w:r>
    </w:p>
    <w:p>
      <w:pPr>
        <w:numPr>
          <w:ilvl w:val="0"/>
          <w:numId w:val="0"/>
        </w:numPr>
        <w:spacing w:line="360" w:lineRule="auto"/>
        <w:ind w:left="425" w:leftChars="0"/>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（6）通讯协议：HJ/T212-2017污染源在线自动监测（监控）系统数据传输标准；</w:t>
      </w:r>
    </w:p>
    <w:p>
      <w:pPr>
        <w:numPr>
          <w:ilvl w:val="0"/>
          <w:numId w:val="0"/>
        </w:numPr>
        <w:spacing w:line="360" w:lineRule="auto"/>
        <w:ind w:left="425" w:leftChars="0"/>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（7）相对湿度：20%～90%；</w:t>
      </w:r>
    </w:p>
    <w:p>
      <w:pPr>
        <w:numPr>
          <w:ilvl w:val="0"/>
          <w:numId w:val="0"/>
        </w:numPr>
        <w:spacing w:line="360" w:lineRule="auto"/>
        <w:ind w:left="425" w:leftChars="0"/>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（8）环境温度：－10℃～＋60℃；</w:t>
      </w:r>
    </w:p>
    <w:p>
      <w:pPr>
        <w:pStyle w:val="4"/>
        <w:numPr>
          <w:ilvl w:val="3"/>
          <w:numId w:val="0"/>
        </w:numPr>
        <w:ind w:leftChars="0"/>
        <w:rPr>
          <w:rFonts w:eastAsia="宋体"/>
          <w:color w:val="000000"/>
        </w:rPr>
      </w:pPr>
      <w:r>
        <w:rPr>
          <w:rFonts w:hint="eastAsia" w:eastAsia="宋体"/>
          <w:color w:val="000000"/>
          <w:lang w:eastAsia="zh-CN"/>
        </w:rPr>
        <w:t>（五）、</w:t>
      </w:r>
      <w:r>
        <w:rPr>
          <w:rFonts w:eastAsia="宋体"/>
          <w:color w:val="000000"/>
        </w:rPr>
        <w:t>混合采样器技术要求</w:t>
      </w:r>
    </w:p>
    <w:p>
      <w:pPr>
        <w:numPr>
          <w:ilvl w:val="0"/>
          <w:numId w:val="0"/>
        </w:numPr>
        <w:spacing w:line="360" w:lineRule="auto"/>
        <w:ind w:left="425" w:leftChars="0"/>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（1）采样方式：超标留样、定时定量、定流定量、定时比例、定量、平行监测留样；</w:t>
      </w:r>
    </w:p>
    <w:p>
      <w:pPr>
        <w:numPr>
          <w:ilvl w:val="0"/>
          <w:numId w:val="0"/>
        </w:numPr>
        <w:spacing w:line="360" w:lineRule="auto"/>
        <w:ind w:left="425" w:leftChars="0"/>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（2）采样量：1～2000mL；</w:t>
      </w:r>
    </w:p>
    <w:p>
      <w:pPr>
        <w:numPr>
          <w:ilvl w:val="0"/>
          <w:numId w:val="0"/>
        </w:numPr>
        <w:spacing w:line="360" w:lineRule="auto"/>
        <w:ind w:left="425" w:leftChars="0"/>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（3）等比例采样量误差：±15%；</w:t>
      </w:r>
    </w:p>
    <w:p>
      <w:pPr>
        <w:numPr>
          <w:ilvl w:val="0"/>
          <w:numId w:val="0"/>
        </w:numPr>
        <w:spacing w:line="360" w:lineRule="auto"/>
        <w:ind w:left="425" w:leftChars="0"/>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（4）系统时钟时间控制误差：Δ1≤0.1%，Δ12≤30s；</w:t>
      </w:r>
    </w:p>
    <w:p>
      <w:pPr>
        <w:numPr>
          <w:ilvl w:val="0"/>
          <w:numId w:val="0"/>
        </w:numPr>
        <w:spacing w:line="360" w:lineRule="auto"/>
        <w:ind w:left="425" w:leftChars="0"/>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（5）垂直采样高度：≥5m；</w:t>
      </w:r>
    </w:p>
    <w:p>
      <w:pPr>
        <w:numPr>
          <w:ilvl w:val="0"/>
          <w:numId w:val="0"/>
        </w:numPr>
        <w:spacing w:line="360" w:lineRule="auto"/>
        <w:ind w:left="425" w:leftChars="0"/>
        <w:rPr>
          <w:rFonts w:hint="eastAsia" w:ascii="仿宋_GB2312" w:hAnsi="微软雅黑" w:eastAsia="仿宋_GB2312" w:cs="仿宋_GB2312"/>
          <w:i w:val="0"/>
          <w:iCs w:val="0"/>
          <w:caps w:val="0"/>
          <w:color w:val="333333"/>
          <w:spacing w:val="0"/>
          <w:kern w:val="0"/>
          <w:sz w:val="24"/>
          <w:szCs w:val="24"/>
          <w:shd w:val="clear" w:fill="FFFFFF"/>
          <w:lang w:val="en-US" w:eastAsia="zh-CN" w:bidi="ar"/>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（6）水平采样距离：≥50m；</w:t>
      </w:r>
    </w:p>
    <w:p>
      <w:pPr>
        <w:numPr>
          <w:ilvl w:val="0"/>
          <w:numId w:val="0"/>
        </w:numPr>
        <w:spacing w:line="360" w:lineRule="auto"/>
        <w:ind w:left="425" w:leftChars="0"/>
        <w:rPr>
          <w:rFonts w:hint="eastAsia" w:ascii="微软雅黑" w:hAnsi="微软雅黑" w:eastAsia="微软雅黑" w:cs="微软雅黑"/>
          <w:i w:val="0"/>
          <w:iCs w:val="0"/>
          <w:caps w:val="0"/>
          <w:color w:val="333333"/>
          <w:spacing w:val="0"/>
          <w:sz w:val="18"/>
          <w:szCs w:val="18"/>
        </w:rPr>
      </w:pPr>
      <w:r>
        <w:rPr>
          <w:rFonts w:hint="eastAsia" w:ascii="仿宋_GB2312" w:hAnsi="微软雅黑" w:eastAsia="仿宋_GB2312" w:cs="仿宋_GB2312"/>
          <w:i w:val="0"/>
          <w:iCs w:val="0"/>
          <w:caps w:val="0"/>
          <w:color w:val="333333"/>
          <w:spacing w:val="0"/>
          <w:kern w:val="0"/>
          <w:sz w:val="24"/>
          <w:szCs w:val="24"/>
          <w:shd w:val="clear" w:fill="FFFFFF"/>
          <w:lang w:val="en-US" w:eastAsia="zh-CN" w:bidi="ar"/>
        </w:rPr>
        <w:t>（7）MTBF：≥1440h/次；</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left"/>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附件2：</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hint="eastAsia" w:ascii="微软雅黑" w:hAnsi="微软雅黑" w:eastAsia="微软雅黑" w:cs="微软雅黑"/>
          <w:i w:val="0"/>
          <w:iCs w:val="0"/>
          <w:caps w:val="0"/>
          <w:color w:val="333333"/>
          <w:spacing w:val="0"/>
          <w:sz w:val="18"/>
          <w:szCs w:val="18"/>
        </w:rPr>
      </w:pPr>
      <w:r>
        <w:rPr>
          <w:rFonts w:ascii="仿宋_GB2312" w:hAnsi="微软雅黑" w:eastAsia="仿宋_GB2312" w:cs="仿宋_GB2312"/>
          <w:i w:val="0"/>
          <w:iCs w:val="0"/>
          <w:caps w:val="0"/>
          <w:color w:val="333333"/>
          <w:spacing w:val="0"/>
          <w:sz w:val="31"/>
          <w:szCs w:val="31"/>
          <w:shd w:val="clear" w:fill="FFFFFF"/>
        </w:rPr>
        <w:t>福建中晶科技有限公司</w:t>
      </w:r>
      <w:r>
        <w:rPr>
          <w:rFonts w:hint="eastAsia" w:ascii="仿宋_GB2312" w:hAnsi="微软雅黑" w:eastAsia="仿宋_GB2312" w:cs="仿宋_GB2312"/>
          <w:i w:val="0"/>
          <w:iCs w:val="0"/>
          <w:caps w:val="0"/>
          <w:color w:val="333333"/>
          <w:spacing w:val="0"/>
          <w:sz w:val="31"/>
          <w:szCs w:val="31"/>
          <w:shd w:val="clear" w:fill="FFFFFF"/>
          <w:lang w:eastAsia="zh-CN"/>
        </w:rPr>
        <w:t>污染源水质在线监测站</w:t>
      </w:r>
      <w:r>
        <w:rPr>
          <w:rFonts w:hint="default" w:ascii="仿宋_GB2312" w:hAnsi="微软雅黑" w:eastAsia="仿宋_GB2312" w:cs="仿宋_GB2312"/>
          <w:i w:val="0"/>
          <w:iCs w:val="0"/>
          <w:caps w:val="0"/>
          <w:color w:val="333333"/>
          <w:spacing w:val="0"/>
          <w:sz w:val="31"/>
          <w:szCs w:val="31"/>
          <w:shd w:val="clear" w:fill="FFFFFF"/>
        </w:rPr>
        <w:t>采购项目</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报价函</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    一、我司承诺：</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615" w:right="0" w:firstLine="0"/>
        <w:jc w:val="both"/>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1.完全响应本项目的要求。</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615" w:right="0" w:firstLine="0"/>
        <w:jc w:val="both"/>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2.在投标截止日前提供标的的正式报价。</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    二、标的费用报价：</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                                       </w:t>
      </w:r>
      <w:r>
        <w:rPr>
          <w:rFonts w:hint="eastAsia" w:ascii="仿宋_GB2312" w:hAnsi="微软雅黑" w:eastAsia="仿宋_GB2312" w:cs="仿宋_GB2312"/>
          <w:i w:val="0"/>
          <w:iCs w:val="0"/>
          <w:caps w:val="0"/>
          <w:color w:val="333333"/>
          <w:spacing w:val="0"/>
          <w:sz w:val="31"/>
          <w:szCs w:val="31"/>
          <w:shd w:val="clear" w:fill="FFFFFF"/>
          <w:lang w:val="en-US" w:eastAsia="zh-CN"/>
        </w:rPr>
        <w:t xml:space="preserve">       </w:t>
      </w:r>
      <w:r>
        <w:rPr>
          <w:rFonts w:hint="default" w:ascii="仿宋_GB2312" w:hAnsi="微软雅黑" w:eastAsia="仿宋_GB2312" w:cs="仿宋_GB2312"/>
          <w:i w:val="0"/>
          <w:iCs w:val="0"/>
          <w:caps w:val="0"/>
          <w:color w:val="333333"/>
          <w:spacing w:val="0"/>
          <w:sz w:val="31"/>
          <w:szCs w:val="31"/>
          <w:shd w:val="clear" w:fill="FFFFFF"/>
        </w:rPr>
        <w:t xml:space="preserve"> 金额单位：</w:t>
      </w:r>
      <w:r>
        <w:rPr>
          <w:rFonts w:hint="eastAsia" w:ascii="仿宋_GB2312" w:hAnsi="微软雅黑" w:eastAsia="仿宋_GB2312" w:cs="仿宋_GB2312"/>
          <w:i w:val="0"/>
          <w:iCs w:val="0"/>
          <w:caps w:val="0"/>
          <w:color w:val="333333"/>
          <w:spacing w:val="0"/>
          <w:sz w:val="31"/>
          <w:szCs w:val="31"/>
          <w:shd w:val="clear" w:fill="FFFFFF"/>
          <w:lang w:val="en-US" w:eastAsia="zh-CN"/>
        </w:rPr>
        <w:t xml:space="preserve"> </w:t>
      </w:r>
      <w:r>
        <w:rPr>
          <w:rFonts w:hint="default" w:ascii="仿宋_GB2312" w:hAnsi="微软雅黑" w:eastAsia="仿宋_GB2312" w:cs="仿宋_GB2312"/>
          <w:i w:val="0"/>
          <w:iCs w:val="0"/>
          <w:caps w:val="0"/>
          <w:color w:val="333333"/>
          <w:spacing w:val="0"/>
          <w:sz w:val="31"/>
          <w:szCs w:val="31"/>
          <w:shd w:val="clear" w:fill="FFFFFF"/>
        </w:rPr>
        <w:t>元</w:t>
      </w:r>
    </w:p>
    <w:tbl>
      <w:tblPr>
        <w:tblStyle w:val="8"/>
        <w:tblW w:w="583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1827"/>
        <w:gridCol w:w="1173"/>
        <w:gridCol w:w="954"/>
        <w:gridCol w:w="614"/>
        <w:gridCol w:w="614"/>
        <w:gridCol w:w="777"/>
        <w:gridCol w:w="777"/>
        <w:gridCol w:w="2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43" w:type="pct"/>
            <w:vMerge w:val="restart"/>
            <w:vAlign w:val="center"/>
          </w:tcPr>
          <w:p>
            <w:pPr>
              <w:spacing w:before="40" w:after="40"/>
              <w:jc w:val="center"/>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序号</w:t>
            </w:r>
          </w:p>
        </w:tc>
        <w:tc>
          <w:tcPr>
            <w:tcW w:w="918" w:type="pct"/>
            <w:vMerge w:val="restart"/>
            <w:vAlign w:val="center"/>
          </w:tcPr>
          <w:p>
            <w:pPr>
              <w:spacing w:before="40" w:after="40"/>
              <w:jc w:val="center"/>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产品名称</w:t>
            </w:r>
          </w:p>
        </w:tc>
        <w:tc>
          <w:tcPr>
            <w:tcW w:w="589" w:type="pct"/>
            <w:vMerge w:val="restart"/>
            <w:vAlign w:val="center"/>
          </w:tcPr>
          <w:p>
            <w:pPr>
              <w:spacing w:before="40" w:after="40"/>
              <w:jc w:val="center"/>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规格型号</w:t>
            </w:r>
          </w:p>
        </w:tc>
        <w:tc>
          <w:tcPr>
            <w:tcW w:w="479" w:type="pct"/>
            <w:vMerge w:val="restart"/>
            <w:vAlign w:val="center"/>
          </w:tcPr>
          <w:p>
            <w:pPr>
              <w:spacing w:before="40" w:after="40"/>
              <w:jc w:val="center"/>
              <w:rPr>
                <w:rFonts w:hint="eastAsia" w:asciiTheme="minorEastAsia" w:hAnsiTheme="minorEastAsia" w:eastAsiaTheme="minorEastAsia" w:cstheme="minorEastAsia"/>
                <w:bCs/>
                <w:color w:val="000000"/>
                <w:sz w:val="21"/>
                <w:szCs w:val="21"/>
                <w:lang w:eastAsia="zh-CN"/>
              </w:rPr>
            </w:pPr>
            <w:r>
              <w:rPr>
                <w:rFonts w:hint="eastAsia" w:asciiTheme="minorEastAsia" w:hAnsiTheme="minorEastAsia" w:cstheme="minorEastAsia"/>
                <w:bCs/>
                <w:color w:val="000000"/>
                <w:sz w:val="21"/>
                <w:szCs w:val="21"/>
                <w:lang w:eastAsia="zh-CN"/>
              </w:rPr>
              <w:t>品牌</w:t>
            </w:r>
          </w:p>
        </w:tc>
        <w:tc>
          <w:tcPr>
            <w:tcW w:w="308" w:type="pct"/>
            <w:vMerge w:val="restart"/>
            <w:vAlign w:val="center"/>
          </w:tcPr>
          <w:p>
            <w:pPr>
              <w:spacing w:before="40" w:after="40"/>
              <w:jc w:val="center"/>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单位</w:t>
            </w:r>
          </w:p>
        </w:tc>
        <w:tc>
          <w:tcPr>
            <w:tcW w:w="308" w:type="pct"/>
            <w:vMerge w:val="restart"/>
            <w:vAlign w:val="center"/>
          </w:tcPr>
          <w:p>
            <w:pPr>
              <w:spacing w:before="40" w:after="40"/>
              <w:jc w:val="center"/>
              <w:rPr>
                <w:rFonts w:hint="eastAsia" w:asciiTheme="minorEastAsia" w:hAnsiTheme="minorEastAsia" w:eastAsiaTheme="minorEastAsia" w:cstheme="minorEastAsia"/>
                <w:bCs/>
                <w:color w:val="000000"/>
                <w:sz w:val="21"/>
                <w:szCs w:val="21"/>
                <w:highlight w:val="none"/>
              </w:rPr>
            </w:pPr>
            <w:r>
              <w:rPr>
                <w:rFonts w:hint="eastAsia" w:asciiTheme="minorEastAsia" w:hAnsiTheme="minorEastAsia" w:eastAsiaTheme="minorEastAsia" w:cstheme="minorEastAsia"/>
                <w:bCs/>
                <w:color w:val="000000"/>
                <w:sz w:val="21"/>
                <w:szCs w:val="21"/>
                <w:highlight w:val="none"/>
              </w:rPr>
              <w:t>数量</w:t>
            </w:r>
          </w:p>
        </w:tc>
        <w:tc>
          <w:tcPr>
            <w:tcW w:w="781" w:type="pct"/>
            <w:gridSpan w:val="2"/>
          </w:tcPr>
          <w:p>
            <w:pPr>
              <w:spacing w:before="40" w:after="40"/>
              <w:jc w:val="center"/>
              <w:rPr>
                <w:rFonts w:hint="eastAsia" w:asciiTheme="minorEastAsia" w:hAnsiTheme="minorEastAsia" w:eastAsiaTheme="minorEastAsia" w:cstheme="minorEastAsia"/>
                <w:bCs/>
                <w:color w:val="000000"/>
                <w:sz w:val="21"/>
                <w:szCs w:val="21"/>
                <w:lang w:eastAsia="zh-CN"/>
              </w:rPr>
            </w:pPr>
            <w:r>
              <w:rPr>
                <w:rFonts w:hint="eastAsia" w:asciiTheme="minorEastAsia" w:hAnsiTheme="minorEastAsia" w:eastAsiaTheme="minorEastAsia" w:cstheme="minorEastAsia"/>
                <w:bCs/>
                <w:color w:val="000000"/>
                <w:sz w:val="21"/>
                <w:szCs w:val="21"/>
                <w:lang w:eastAsia="zh-CN"/>
              </w:rPr>
              <w:t>预估算金额</w:t>
            </w:r>
          </w:p>
        </w:tc>
        <w:tc>
          <w:tcPr>
            <w:tcW w:w="1269" w:type="pct"/>
            <w:vMerge w:val="restart"/>
          </w:tcPr>
          <w:p>
            <w:pPr>
              <w:spacing w:before="40" w:after="40"/>
              <w:jc w:val="center"/>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43" w:type="pct"/>
            <w:vMerge w:val="continue"/>
            <w:vAlign w:val="center"/>
          </w:tcPr>
          <w:p>
            <w:pPr>
              <w:rPr>
                <w:rFonts w:hint="eastAsia" w:asciiTheme="minorEastAsia" w:hAnsiTheme="minorEastAsia" w:eastAsiaTheme="minorEastAsia" w:cstheme="minorEastAsia"/>
                <w:b/>
                <w:color w:val="000000"/>
                <w:sz w:val="21"/>
                <w:szCs w:val="21"/>
                <w:highlight w:val="none"/>
              </w:rPr>
            </w:pPr>
          </w:p>
        </w:tc>
        <w:tc>
          <w:tcPr>
            <w:tcW w:w="918" w:type="pct"/>
            <w:vMerge w:val="continue"/>
            <w:vAlign w:val="center"/>
          </w:tcPr>
          <w:p>
            <w:pPr>
              <w:rPr>
                <w:rFonts w:hint="eastAsia" w:asciiTheme="minorEastAsia" w:hAnsiTheme="minorEastAsia" w:eastAsiaTheme="minorEastAsia" w:cstheme="minorEastAsia"/>
                <w:b/>
                <w:color w:val="000000"/>
                <w:sz w:val="21"/>
                <w:szCs w:val="21"/>
                <w:highlight w:val="none"/>
              </w:rPr>
            </w:pPr>
          </w:p>
        </w:tc>
        <w:tc>
          <w:tcPr>
            <w:tcW w:w="589" w:type="pct"/>
            <w:vMerge w:val="continue"/>
            <w:vAlign w:val="center"/>
          </w:tcPr>
          <w:p>
            <w:pPr>
              <w:rPr>
                <w:rFonts w:hint="eastAsia" w:asciiTheme="minorEastAsia" w:hAnsiTheme="minorEastAsia" w:eastAsiaTheme="minorEastAsia" w:cstheme="minorEastAsia"/>
                <w:b/>
                <w:color w:val="000000"/>
                <w:sz w:val="21"/>
                <w:szCs w:val="21"/>
                <w:highlight w:val="none"/>
              </w:rPr>
            </w:pPr>
          </w:p>
        </w:tc>
        <w:tc>
          <w:tcPr>
            <w:tcW w:w="479" w:type="pct"/>
            <w:vMerge w:val="continue"/>
            <w:vAlign w:val="center"/>
          </w:tcPr>
          <w:p>
            <w:pPr>
              <w:rPr>
                <w:rFonts w:hint="eastAsia" w:asciiTheme="minorEastAsia" w:hAnsiTheme="minorEastAsia" w:eastAsiaTheme="minorEastAsia" w:cstheme="minorEastAsia"/>
                <w:b/>
                <w:color w:val="000000"/>
                <w:sz w:val="21"/>
                <w:szCs w:val="21"/>
                <w:highlight w:val="none"/>
              </w:rPr>
            </w:pPr>
          </w:p>
        </w:tc>
        <w:tc>
          <w:tcPr>
            <w:tcW w:w="308" w:type="pct"/>
            <w:vMerge w:val="continue"/>
            <w:vAlign w:val="center"/>
          </w:tcPr>
          <w:p>
            <w:pPr>
              <w:rPr>
                <w:rFonts w:hint="eastAsia" w:asciiTheme="minorEastAsia" w:hAnsiTheme="minorEastAsia" w:eastAsiaTheme="minorEastAsia" w:cstheme="minorEastAsia"/>
                <w:b/>
                <w:color w:val="000000"/>
                <w:sz w:val="21"/>
                <w:szCs w:val="21"/>
                <w:highlight w:val="none"/>
              </w:rPr>
            </w:pPr>
          </w:p>
        </w:tc>
        <w:tc>
          <w:tcPr>
            <w:tcW w:w="308" w:type="pct"/>
            <w:vMerge w:val="continue"/>
            <w:vAlign w:val="center"/>
          </w:tcPr>
          <w:p>
            <w:pPr>
              <w:rPr>
                <w:rFonts w:hint="eastAsia" w:asciiTheme="minorEastAsia" w:hAnsiTheme="minorEastAsia" w:eastAsiaTheme="minorEastAsia" w:cstheme="minorEastAsia"/>
                <w:b/>
                <w:color w:val="000000"/>
                <w:sz w:val="21"/>
                <w:szCs w:val="21"/>
                <w:highlight w:val="none"/>
              </w:rPr>
            </w:pPr>
          </w:p>
        </w:tc>
        <w:tc>
          <w:tcPr>
            <w:tcW w:w="390" w:type="pct"/>
            <w:tcBorders>
              <w:right w:val="single" w:color="auto" w:sz="4" w:space="0"/>
            </w:tcBorders>
            <w:vAlign w:val="top"/>
          </w:tcPr>
          <w:p>
            <w:pPr>
              <w:spacing w:before="40" w:after="40"/>
              <w:jc w:val="center"/>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Cs/>
                <w:color w:val="000000"/>
                <w:sz w:val="21"/>
                <w:szCs w:val="21"/>
                <w:lang w:eastAsia="zh-CN"/>
              </w:rPr>
              <w:t>单价（元）</w:t>
            </w:r>
          </w:p>
        </w:tc>
        <w:tc>
          <w:tcPr>
            <w:tcW w:w="390" w:type="pct"/>
            <w:tcBorders>
              <w:right w:val="single" w:color="auto" w:sz="4" w:space="0"/>
            </w:tcBorders>
            <w:vAlign w:val="top"/>
          </w:tcPr>
          <w:p>
            <w:pPr>
              <w:spacing w:before="40" w:after="40"/>
              <w:jc w:val="center"/>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Cs/>
                <w:color w:val="000000"/>
                <w:sz w:val="21"/>
                <w:szCs w:val="21"/>
                <w:lang w:eastAsia="zh-CN"/>
              </w:rPr>
              <w:t>金额（元）</w:t>
            </w:r>
          </w:p>
        </w:tc>
        <w:tc>
          <w:tcPr>
            <w:tcW w:w="1269" w:type="pct"/>
            <w:vMerge w:val="continue"/>
            <w:vAlign w:val="center"/>
          </w:tcPr>
          <w:p>
            <w:pPr>
              <w:rPr>
                <w:rFonts w:hint="eastAsia" w:asciiTheme="minorEastAsia" w:hAnsiTheme="minorEastAsia" w:eastAsiaTheme="minorEastAsia" w:cstheme="minorEastAsia"/>
                <w:b/>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43" w:type="pct"/>
            <w:vAlign w:val="center"/>
          </w:tcPr>
          <w:p>
            <w:pPr>
              <w:spacing w:before="40" w:after="40"/>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一</w:t>
            </w:r>
          </w:p>
        </w:tc>
        <w:tc>
          <w:tcPr>
            <w:tcW w:w="918" w:type="pct"/>
            <w:vAlign w:val="center"/>
          </w:tcPr>
          <w:p>
            <w:pPr>
              <w:spacing w:before="40" w:after="40"/>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分析仪表单元</w:t>
            </w:r>
          </w:p>
        </w:tc>
        <w:tc>
          <w:tcPr>
            <w:tcW w:w="58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47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308"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30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bCs/>
                <w:color w:val="000000"/>
                <w:sz w:val="21"/>
                <w:szCs w:val="21"/>
                <w:highlight w:val="none"/>
              </w:rPr>
            </w:pPr>
          </w:p>
        </w:tc>
        <w:tc>
          <w:tcPr>
            <w:tcW w:w="390" w:type="pct"/>
            <w:tcBorders>
              <w:top w:val="single" w:color="auto" w:sz="4" w:space="0"/>
              <w:left w:val="single" w:color="auto" w:sz="4" w:space="0"/>
              <w:right w:val="single" w:color="auto" w:sz="4" w:space="0"/>
            </w:tcBorders>
          </w:tcPr>
          <w:p>
            <w:pPr>
              <w:jc w:val="center"/>
              <w:rPr>
                <w:rFonts w:hint="eastAsia" w:asciiTheme="minorEastAsia" w:hAnsiTheme="minorEastAsia" w:eastAsiaTheme="minorEastAsia" w:cstheme="minorEastAsia"/>
                <w:bCs/>
                <w:color w:val="000000"/>
                <w:sz w:val="21"/>
                <w:szCs w:val="21"/>
              </w:rPr>
            </w:pPr>
          </w:p>
        </w:tc>
        <w:tc>
          <w:tcPr>
            <w:tcW w:w="390" w:type="pct"/>
            <w:tcBorders>
              <w:top w:val="single" w:color="auto" w:sz="4" w:space="0"/>
              <w:left w:val="single" w:color="auto" w:sz="4" w:space="0"/>
              <w:right w:val="single" w:color="auto" w:sz="4" w:space="0"/>
            </w:tcBorders>
          </w:tcPr>
          <w:p>
            <w:pPr>
              <w:jc w:val="center"/>
              <w:rPr>
                <w:rFonts w:hint="eastAsia" w:asciiTheme="minorEastAsia" w:hAnsiTheme="minorEastAsia" w:eastAsiaTheme="minorEastAsia" w:cstheme="minorEastAsia"/>
                <w:bCs/>
                <w:color w:val="000000"/>
                <w:sz w:val="21"/>
                <w:szCs w:val="21"/>
              </w:rPr>
            </w:pPr>
          </w:p>
        </w:tc>
        <w:tc>
          <w:tcPr>
            <w:tcW w:w="1269" w:type="pct"/>
            <w:tcBorders>
              <w:top w:val="single" w:color="auto" w:sz="4" w:space="0"/>
              <w:left w:val="single" w:color="auto" w:sz="4" w:space="0"/>
              <w:right w:val="single" w:color="auto" w:sz="4" w:space="0"/>
            </w:tcBorders>
          </w:tcPr>
          <w:p>
            <w:pPr>
              <w:jc w:val="center"/>
              <w:rPr>
                <w:rFonts w:hint="eastAsia" w:asciiTheme="minorEastAsia" w:hAnsiTheme="minorEastAsia" w:eastAsiaTheme="minorEastAsia" w:cstheme="minorEastAsia"/>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43" w:type="pct"/>
            <w:vAlign w:val="center"/>
          </w:tcPr>
          <w:p>
            <w:pPr>
              <w:spacing w:before="40" w:after="40"/>
              <w:jc w:val="center"/>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1</w:t>
            </w:r>
          </w:p>
        </w:tc>
        <w:tc>
          <w:tcPr>
            <w:tcW w:w="918" w:type="pct"/>
            <w:vAlign w:val="center"/>
          </w:tcPr>
          <w:p>
            <w:pPr>
              <w:spacing w:before="40" w:after="40"/>
              <w:jc w:val="both"/>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sz w:val="21"/>
                <w:szCs w:val="21"/>
              </w:rPr>
              <w:t>化学需氧量（CODcr）在线分析仪</w:t>
            </w:r>
          </w:p>
        </w:tc>
        <w:tc>
          <w:tcPr>
            <w:tcW w:w="58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47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308" w:type="pct"/>
            <w:tcBorders>
              <w:right w:val="single" w:color="auto" w:sz="4" w:space="0"/>
            </w:tcBorders>
            <w:vAlign w:val="center"/>
          </w:tcPr>
          <w:p>
            <w:pPr>
              <w:jc w:val="center"/>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color w:val="000000"/>
                <w:kern w:val="0"/>
                <w:sz w:val="21"/>
                <w:szCs w:val="21"/>
              </w:rPr>
              <w:t>台</w:t>
            </w:r>
          </w:p>
        </w:tc>
        <w:tc>
          <w:tcPr>
            <w:tcW w:w="30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bCs/>
                <w:color w:val="000000"/>
                <w:sz w:val="21"/>
                <w:szCs w:val="21"/>
                <w:highlight w:val="none"/>
                <w:lang w:val="en-US" w:eastAsia="zh-CN"/>
              </w:rPr>
            </w:pPr>
            <w:r>
              <w:rPr>
                <w:rFonts w:hint="eastAsia" w:asciiTheme="minorEastAsia" w:hAnsiTheme="minorEastAsia" w:eastAsiaTheme="minorEastAsia" w:cstheme="minorEastAsia"/>
                <w:bCs/>
                <w:color w:val="000000"/>
                <w:sz w:val="21"/>
                <w:szCs w:val="21"/>
                <w:highlight w:val="none"/>
                <w:lang w:val="en-US" w:eastAsia="zh-CN"/>
              </w:rPr>
              <w:t>1</w:t>
            </w:r>
          </w:p>
        </w:tc>
        <w:tc>
          <w:tcPr>
            <w:tcW w:w="390" w:type="pct"/>
            <w:tcBorders>
              <w:top w:val="single" w:color="auto" w:sz="4" w:space="0"/>
              <w:left w:val="single" w:color="auto" w:sz="4" w:space="0"/>
              <w:right w:val="single" w:color="auto" w:sz="4" w:space="0"/>
            </w:tcBorders>
          </w:tcPr>
          <w:p>
            <w:pPr>
              <w:spacing w:before="40" w:after="40"/>
              <w:jc w:val="center"/>
              <w:rPr>
                <w:rFonts w:hint="default" w:asciiTheme="minorEastAsia" w:hAnsiTheme="minorEastAsia" w:eastAsiaTheme="minorEastAsia" w:cstheme="minorEastAsia"/>
                <w:color w:val="000000"/>
                <w:sz w:val="21"/>
                <w:szCs w:val="21"/>
                <w:lang w:val="en-US" w:eastAsia="zh-CN"/>
              </w:rPr>
            </w:pPr>
          </w:p>
        </w:tc>
        <w:tc>
          <w:tcPr>
            <w:tcW w:w="390" w:type="pct"/>
            <w:tcBorders>
              <w:top w:val="single" w:color="auto" w:sz="4" w:space="0"/>
              <w:left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lang w:val="en-US" w:eastAsia="zh-CN"/>
              </w:rPr>
            </w:pPr>
          </w:p>
        </w:tc>
        <w:tc>
          <w:tcPr>
            <w:tcW w:w="1269" w:type="pct"/>
            <w:tcBorders>
              <w:top w:val="single" w:color="auto" w:sz="4" w:space="0"/>
              <w:left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43" w:type="pct"/>
            <w:vAlign w:val="center"/>
          </w:tcPr>
          <w:p>
            <w:pPr>
              <w:spacing w:before="40" w:after="40"/>
              <w:jc w:val="center"/>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2</w:t>
            </w:r>
          </w:p>
        </w:tc>
        <w:tc>
          <w:tcPr>
            <w:tcW w:w="918" w:type="pct"/>
            <w:vAlign w:val="center"/>
          </w:tcPr>
          <w:p>
            <w:pPr>
              <w:spacing w:before="40" w:after="40"/>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sz w:val="21"/>
                <w:szCs w:val="21"/>
              </w:rPr>
              <w:t>氨氮在线分析仪</w:t>
            </w:r>
          </w:p>
        </w:tc>
        <w:tc>
          <w:tcPr>
            <w:tcW w:w="58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47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308" w:type="pct"/>
            <w:tcBorders>
              <w:right w:val="single" w:color="auto" w:sz="4" w:space="0"/>
            </w:tcBorders>
            <w:vAlign w:val="center"/>
          </w:tcPr>
          <w:p>
            <w:pPr>
              <w:jc w:val="center"/>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color w:val="000000"/>
                <w:kern w:val="0"/>
                <w:sz w:val="21"/>
                <w:szCs w:val="21"/>
              </w:rPr>
              <w:t>台</w:t>
            </w:r>
          </w:p>
        </w:tc>
        <w:tc>
          <w:tcPr>
            <w:tcW w:w="30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bCs/>
                <w:color w:val="000000"/>
                <w:sz w:val="21"/>
                <w:szCs w:val="21"/>
                <w:highlight w:val="none"/>
                <w:lang w:val="en-US" w:eastAsia="zh-CN"/>
              </w:rPr>
            </w:pPr>
            <w:r>
              <w:rPr>
                <w:rFonts w:hint="eastAsia" w:asciiTheme="minorEastAsia" w:hAnsiTheme="minorEastAsia" w:eastAsiaTheme="minorEastAsia" w:cstheme="minorEastAsia"/>
                <w:bCs/>
                <w:color w:val="000000"/>
                <w:sz w:val="21"/>
                <w:szCs w:val="21"/>
                <w:highlight w:val="none"/>
                <w:lang w:val="en-US" w:eastAsia="zh-CN"/>
              </w:rPr>
              <w:t>1</w:t>
            </w:r>
          </w:p>
        </w:tc>
        <w:tc>
          <w:tcPr>
            <w:tcW w:w="390" w:type="pct"/>
            <w:tcBorders>
              <w:left w:val="single" w:color="auto" w:sz="4" w:space="0"/>
              <w:right w:val="single" w:color="auto" w:sz="4" w:space="0"/>
            </w:tcBorders>
          </w:tcPr>
          <w:p>
            <w:pPr>
              <w:spacing w:before="40" w:after="40"/>
              <w:jc w:val="center"/>
              <w:rPr>
                <w:rFonts w:hint="default" w:asciiTheme="minorEastAsia" w:hAnsiTheme="minorEastAsia" w:eastAsiaTheme="minorEastAsia" w:cstheme="minorEastAsia"/>
                <w:color w:val="000000"/>
                <w:sz w:val="21"/>
                <w:szCs w:val="21"/>
                <w:lang w:val="en-US" w:eastAsia="zh-CN"/>
              </w:rPr>
            </w:pPr>
          </w:p>
        </w:tc>
        <w:tc>
          <w:tcPr>
            <w:tcW w:w="390" w:type="pct"/>
            <w:tcBorders>
              <w:left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lang w:val="en-US" w:eastAsia="zh-CN"/>
              </w:rPr>
            </w:pPr>
          </w:p>
        </w:tc>
        <w:tc>
          <w:tcPr>
            <w:tcW w:w="1269" w:type="pct"/>
            <w:tcBorders>
              <w:left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43" w:type="pct"/>
            <w:vAlign w:val="center"/>
          </w:tcPr>
          <w:p>
            <w:pPr>
              <w:spacing w:before="40" w:after="40"/>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二</w:t>
            </w:r>
          </w:p>
        </w:tc>
        <w:tc>
          <w:tcPr>
            <w:tcW w:w="918" w:type="pct"/>
            <w:vAlign w:val="center"/>
          </w:tcPr>
          <w:p>
            <w:pPr>
              <w:spacing w:before="40" w:after="40"/>
              <w:jc w:val="center"/>
              <w:rPr>
                <w:rFonts w:hint="eastAsia" w:asciiTheme="minorEastAsia" w:hAnsiTheme="minorEastAsia" w:eastAsiaTheme="minorEastAsia" w:cstheme="minorEastAsia"/>
                <w:b/>
                <w:color w:val="000000"/>
                <w:kern w:val="0"/>
                <w:sz w:val="21"/>
                <w:szCs w:val="21"/>
              </w:rPr>
            </w:pPr>
            <w:r>
              <w:rPr>
                <w:rFonts w:hint="eastAsia" w:asciiTheme="minorEastAsia" w:hAnsiTheme="minorEastAsia" w:eastAsiaTheme="minorEastAsia" w:cstheme="minorEastAsia"/>
                <w:b/>
                <w:color w:val="000000"/>
                <w:kern w:val="0"/>
                <w:sz w:val="21"/>
                <w:szCs w:val="21"/>
              </w:rPr>
              <w:t>其他仪表</w:t>
            </w:r>
          </w:p>
        </w:tc>
        <w:tc>
          <w:tcPr>
            <w:tcW w:w="58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47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308"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30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bCs/>
                <w:color w:val="000000"/>
                <w:sz w:val="21"/>
                <w:szCs w:val="21"/>
                <w:highlight w:val="none"/>
              </w:rPr>
            </w:pPr>
          </w:p>
        </w:tc>
        <w:tc>
          <w:tcPr>
            <w:tcW w:w="390" w:type="pct"/>
            <w:tcBorders>
              <w:left w:val="single" w:color="auto" w:sz="4" w:space="0"/>
              <w:bottom w:val="single" w:color="auto" w:sz="4" w:space="0"/>
              <w:right w:val="single" w:color="auto" w:sz="4" w:space="0"/>
            </w:tcBorders>
          </w:tcPr>
          <w:p>
            <w:pPr>
              <w:spacing w:before="40" w:after="40"/>
              <w:jc w:val="center"/>
              <w:rPr>
                <w:rFonts w:hint="default" w:asciiTheme="minorEastAsia" w:hAnsiTheme="minorEastAsia" w:eastAsiaTheme="minorEastAsia" w:cstheme="minorEastAsia"/>
                <w:color w:val="000000"/>
                <w:sz w:val="21"/>
                <w:szCs w:val="21"/>
                <w:lang w:val="en-US" w:eastAsia="zh-CN"/>
              </w:rPr>
            </w:pPr>
          </w:p>
        </w:tc>
        <w:tc>
          <w:tcPr>
            <w:tcW w:w="390" w:type="pct"/>
            <w:tcBorders>
              <w:left w:val="single" w:color="auto" w:sz="4" w:space="0"/>
              <w:bottom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rPr>
            </w:pPr>
          </w:p>
        </w:tc>
        <w:tc>
          <w:tcPr>
            <w:tcW w:w="1269" w:type="pct"/>
            <w:tcBorders>
              <w:left w:val="single" w:color="auto" w:sz="4" w:space="0"/>
              <w:bottom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43" w:type="pct"/>
            <w:vAlign w:val="center"/>
          </w:tcPr>
          <w:p>
            <w:pPr>
              <w:spacing w:before="40" w:after="4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w:t>
            </w:r>
          </w:p>
        </w:tc>
        <w:tc>
          <w:tcPr>
            <w:tcW w:w="918" w:type="pct"/>
            <w:vAlign w:val="center"/>
          </w:tcPr>
          <w:p>
            <w:pPr>
              <w:spacing w:before="40" w:after="40"/>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color w:val="000000"/>
                <w:sz w:val="21"/>
                <w:szCs w:val="21"/>
              </w:rPr>
              <w:t>pH在线分析仪</w:t>
            </w:r>
          </w:p>
        </w:tc>
        <w:tc>
          <w:tcPr>
            <w:tcW w:w="58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47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308"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台</w:t>
            </w:r>
          </w:p>
        </w:tc>
        <w:tc>
          <w:tcPr>
            <w:tcW w:w="30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bCs/>
                <w:color w:val="000000"/>
                <w:sz w:val="21"/>
                <w:szCs w:val="21"/>
                <w:highlight w:val="none"/>
                <w:lang w:val="en-US" w:eastAsia="zh-CN"/>
              </w:rPr>
              <w:t>1</w:t>
            </w:r>
          </w:p>
        </w:tc>
        <w:tc>
          <w:tcPr>
            <w:tcW w:w="390" w:type="pct"/>
            <w:tcBorders>
              <w:top w:val="single" w:color="auto" w:sz="4" w:space="0"/>
              <w:left w:val="single" w:color="auto" w:sz="4" w:space="0"/>
              <w:bottom w:val="single" w:color="auto" w:sz="4" w:space="0"/>
              <w:right w:val="single" w:color="auto" w:sz="4" w:space="0"/>
            </w:tcBorders>
          </w:tcPr>
          <w:p>
            <w:pPr>
              <w:spacing w:before="40" w:after="40"/>
              <w:jc w:val="center"/>
              <w:rPr>
                <w:rFonts w:hint="default" w:asciiTheme="minorEastAsia" w:hAnsiTheme="minorEastAsia" w:eastAsiaTheme="minorEastAsia" w:cstheme="minorEastAsia"/>
                <w:color w:val="000000"/>
                <w:sz w:val="21"/>
                <w:szCs w:val="21"/>
                <w:lang w:val="en-US" w:eastAsia="zh-CN"/>
              </w:rPr>
            </w:pPr>
          </w:p>
        </w:tc>
        <w:tc>
          <w:tcPr>
            <w:tcW w:w="390" w:type="pct"/>
            <w:tcBorders>
              <w:top w:val="single" w:color="auto" w:sz="4" w:space="0"/>
              <w:left w:val="single" w:color="auto" w:sz="4" w:space="0"/>
              <w:bottom w:val="single" w:color="auto" w:sz="4" w:space="0"/>
              <w:right w:val="single" w:color="auto" w:sz="4" w:space="0"/>
            </w:tcBorders>
          </w:tcPr>
          <w:p>
            <w:pPr>
              <w:spacing w:before="40" w:after="40"/>
              <w:jc w:val="both"/>
              <w:rPr>
                <w:rFonts w:hint="eastAsia" w:asciiTheme="minorEastAsia" w:hAnsiTheme="minorEastAsia" w:eastAsiaTheme="minorEastAsia" w:cstheme="minorEastAsia"/>
                <w:color w:val="000000"/>
                <w:sz w:val="21"/>
                <w:szCs w:val="21"/>
                <w:lang w:val="en-US" w:eastAsia="zh-CN"/>
              </w:rPr>
            </w:pPr>
          </w:p>
        </w:tc>
        <w:tc>
          <w:tcPr>
            <w:tcW w:w="1269" w:type="pct"/>
            <w:tcBorders>
              <w:top w:val="single" w:color="auto" w:sz="4" w:space="0"/>
              <w:left w:val="single" w:color="auto" w:sz="4" w:space="0"/>
              <w:bottom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带温度补偿功能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43" w:type="pct"/>
            <w:vAlign w:val="center"/>
          </w:tcPr>
          <w:p>
            <w:pPr>
              <w:spacing w:before="40" w:after="4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w:t>
            </w:r>
          </w:p>
        </w:tc>
        <w:tc>
          <w:tcPr>
            <w:tcW w:w="918" w:type="pct"/>
            <w:vAlign w:val="center"/>
          </w:tcPr>
          <w:p>
            <w:pPr>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kern w:val="0"/>
                <w:sz w:val="21"/>
                <w:szCs w:val="21"/>
                <w:highlight w:val="none"/>
              </w:rPr>
              <w:t>超声波明渠流量计</w:t>
            </w:r>
          </w:p>
        </w:tc>
        <w:tc>
          <w:tcPr>
            <w:tcW w:w="58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highlight w:val="none"/>
              </w:rPr>
            </w:pPr>
          </w:p>
        </w:tc>
        <w:tc>
          <w:tcPr>
            <w:tcW w:w="47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highlight w:val="none"/>
              </w:rPr>
            </w:pPr>
          </w:p>
        </w:tc>
        <w:tc>
          <w:tcPr>
            <w:tcW w:w="308"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highlight w:val="none"/>
              </w:rPr>
            </w:pPr>
            <w:r>
              <w:rPr>
                <w:rFonts w:hint="eastAsia" w:asciiTheme="minorEastAsia" w:hAnsiTheme="minorEastAsia" w:eastAsiaTheme="minorEastAsia" w:cstheme="minorEastAsia"/>
                <w:color w:val="000000"/>
                <w:kern w:val="0"/>
                <w:sz w:val="21"/>
                <w:szCs w:val="21"/>
                <w:highlight w:val="none"/>
              </w:rPr>
              <w:t>台</w:t>
            </w:r>
          </w:p>
        </w:tc>
        <w:tc>
          <w:tcPr>
            <w:tcW w:w="30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bCs/>
                <w:color w:val="000000"/>
                <w:sz w:val="21"/>
                <w:szCs w:val="21"/>
                <w:highlight w:val="none"/>
                <w:lang w:val="en-US" w:eastAsia="zh-CN"/>
              </w:rPr>
            </w:pPr>
            <w:r>
              <w:rPr>
                <w:rFonts w:hint="eastAsia" w:asciiTheme="minorEastAsia" w:hAnsiTheme="minorEastAsia" w:eastAsiaTheme="minorEastAsia" w:cstheme="minorEastAsia"/>
                <w:bCs/>
                <w:color w:val="000000"/>
                <w:sz w:val="21"/>
                <w:szCs w:val="21"/>
                <w:highlight w:val="none"/>
              </w:rPr>
              <w:t>1</w:t>
            </w:r>
          </w:p>
        </w:tc>
        <w:tc>
          <w:tcPr>
            <w:tcW w:w="390" w:type="pct"/>
            <w:tcBorders>
              <w:top w:val="single" w:color="auto" w:sz="4" w:space="0"/>
              <w:left w:val="single" w:color="auto" w:sz="4" w:space="0"/>
              <w:bottom w:val="single" w:color="auto" w:sz="4" w:space="0"/>
              <w:right w:val="single" w:color="auto" w:sz="4" w:space="0"/>
            </w:tcBorders>
            <w:vAlign w:val="top"/>
          </w:tcPr>
          <w:p>
            <w:pPr>
              <w:spacing w:before="40" w:after="40"/>
              <w:jc w:val="center"/>
              <w:rPr>
                <w:rFonts w:hint="default" w:asciiTheme="minorEastAsia" w:hAnsiTheme="minorEastAsia" w:eastAsiaTheme="minorEastAsia" w:cstheme="minorEastAsia"/>
                <w:color w:val="000000"/>
                <w:sz w:val="21"/>
                <w:szCs w:val="21"/>
                <w:lang w:val="en-US" w:eastAsia="zh-CN"/>
              </w:rPr>
            </w:pPr>
          </w:p>
        </w:tc>
        <w:tc>
          <w:tcPr>
            <w:tcW w:w="390" w:type="pct"/>
            <w:tcBorders>
              <w:top w:val="single" w:color="auto" w:sz="4" w:space="0"/>
              <w:left w:val="single" w:color="auto" w:sz="4" w:space="0"/>
              <w:bottom w:val="single" w:color="auto" w:sz="4" w:space="0"/>
              <w:right w:val="single" w:color="auto" w:sz="4" w:space="0"/>
            </w:tcBorders>
            <w:vAlign w:val="top"/>
          </w:tcPr>
          <w:p>
            <w:pPr>
              <w:spacing w:before="40" w:after="40"/>
              <w:jc w:val="both"/>
              <w:rPr>
                <w:rFonts w:hint="eastAsia" w:asciiTheme="minorEastAsia" w:hAnsiTheme="minorEastAsia" w:eastAsiaTheme="minorEastAsia" w:cstheme="minorEastAsia"/>
                <w:color w:val="000000"/>
                <w:sz w:val="21"/>
                <w:szCs w:val="21"/>
                <w:lang w:val="en-US" w:eastAsia="zh-CN"/>
              </w:rPr>
            </w:pPr>
          </w:p>
        </w:tc>
        <w:tc>
          <w:tcPr>
            <w:tcW w:w="1269" w:type="pct"/>
            <w:tcBorders>
              <w:top w:val="single" w:color="auto" w:sz="4" w:space="0"/>
              <w:left w:val="single" w:color="auto" w:sz="4" w:space="0"/>
              <w:bottom w:val="single" w:color="auto" w:sz="4" w:space="0"/>
              <w:right w:val="single" w:color="auto" w:sz="4" w:space="0"/>
            </w:tcBorders>
            <w:vAlign w:val="top"/>
          </w:tcPr>
          <w:p>
            <w:pPr>
              <w:spacing w:before="40" w:after="40"/>
              <w:jc w:val="center"/>
              <w:rPr>
                <w:rFonts w:hint="eastAsia" w:asciiTheme="minorEastAsia" w:hAnsiTheme="minorEastAsia" w:eastAsiaTheme="minorEastAsia" w:cstheme="min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43" w:type="pct"/>
            <w:vAlign w:val="center"/>
          </w:tcPr>
          <w:p>
            <w:pPr>
              <w:spacing w:before="40" w:after="40"/>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三</w:t>
            </w:r>
          </w:p>
        </w:tc>
        <w:tc>
          <w:tcPr>
            <w:tcW w:w="918" w:type="pct"/>
            <w:vAlign w:val="center"/>
          </w:tcPr>
          <w:p>
            <w:pPr>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预处理及采水单元</w:t>
            </w:r>
          </w:p>
        </w:tc>
        <w:tc>
          <w:tcPr>
            <w:tcW w:w="58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47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308"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套</w:t>
            </w:r>
          </w:p>
        </w:tc>
        <w:tc>
          <w:tcPr>
            <w:tcW w:w="30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bCs/>
                <w:color w:val="000000"/>
                <w:sz w:val="21"/>
                <w:szCs w:val="21"/>
                <w:highlight w:val="none"/>
                <w:lang w:eastAsia="zh-CN"/>
              </w:rPr>
            </w:pPr>
            <w:r>
              <w:rPr>
                <w:rFonts w:hint="eastAsia" w:asciiTheme="minorEastAsia" w:hAnsiTheme="minorEastAsia" w:eastAsiaTheme="minorEastAsia" w:cstheme="minorEastAsia"/>
                <w:bCs/>
                <w:color w:val="000000"/>
                <w:sz w:val="21"/>
                <w:szCs w:val="21"/>
                <w:highlight w:val="none"/>
                <w:lang w:val="en-US" w:eastAsia="zh-CN"/>
              </w:rPr>
              <w:t>1</w:t>
            </w:r>
          </w:p>
        </w:tc>
        <w:tc>
          <w:tcPr>
            <w:tcW w:w="390" w:type="pct"/>
            <w:tcBorders>
              <w:top w:val="single" w:color="auto" w:sz="4" w:space="0"/>
              <w:left w:val="single" w:color="auto" w:sz="4" w:space="0"/>
              <w:bottom w:val="single" w:color="auto" w:sz="4" w:space="0"/>
              <w:right w:val="single" w:color="auto" w:sz="4" w:space="0"/>
            </w:tcBorders>
          </w:tcPr>
          <w:p>
            <w:pPr>
              <w:spacing w:before="40" w:after="40"/>
              <w:jc w:val="center"/>
              <w:rPr>
                <w:rFonts w:hint="default" w:asciiTheme="minorEastAsia" w:hAnsiTheme="minorEastAsia" w:eastAsiaTheme="minorEastAsia" w:cstheme="minorEastAsia"/>
                <w:color w:val="000000"/>
                <w:sz w:val="21"/>
                <w:szCs w:val="21"/>
                <w:lang w:val="en-US" w:eastAsia="zh-CN"/>
              </w:rPr>
            </w:pPr>
          </w:p>
        </w:tc>
        <w:tc>
          <w:tcPr>
            <w:tcW w:w="390" w:type="pct"/>
            <w:tcBorders>
              <w:top w:val="single" w:color="auto" w:sz="4" w:space="0"/>
              <w:left w:val="single" w:color="auto" w:sz="4" w:space="0"/>
              <w:bottom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rPr>
            </w:pPr>
          </w:p>
        </w:tc>
        <w:tc>
          <w:tcPr>
            <w:tcW w:w="1269" w:type="pct"/>
            <w:tcBorders>
              <w:top w:val="single" w:color="auto" w:sz="4" w:space="0"/>
              <w:left w:val="single" w:color="auto" w:sz="4" w:space="0"/>
              <w:bottom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43" w:type="pct"/>
            <w:vAlign w:val="center"/>
          </w:tcPr>
          <w:p>
            <w:pPr>
              <w:spacing w:before="40" w:after="40"/>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四</w:t>
            </w:r>
          </w:p>
        </w:tc>
        <w:tc>
          <w:tcPr>
            <w:tcW w:w="918" w:type="pct"/>
            <w:vAlign w:val="center"/>
          </w:tcPr>
          <w:p>
            <w:pPr>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混合采样器</w:t>
            </w:r>
          </w:p>
        </w:tc>
        <w:tc>
          <w:tcPr>
            <w:tcW w:w="58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47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308"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台</w:t>
            </w:r>
          </w:p>
        </w:tc>
        <w:tc>
          <w:tcPr>
            <w:tcW w:w="30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bCs/>
                <w:color w:val="000000"/>
                <w:sz w:val="21"/>
                <w:szCs w:val="21"/>
                <w:highlight w:val="none"/>
                <w:lang w:val="en-US" w:eastAsia="zh-CN"/>
              </w:rPr>
              <w:t>1</w:t>
            </w:r>
          </w:p>
        </w:tc>
        <w:tc>
          <w:tcPr>
            <w:tcW w:w="390" w:type="pct"/>
            <w:tcBorders>
              <w:top w:val="single" w:color="auto" w:sz="4" w:space="0"/>
              <w:left w:val="single" w:color="auto" w:sz="4" w:space="0"/>
              <w:bottom w:val="single" w:color="auto" w:sz="4" w:space="0"/>
              <w:right w:val="single" w:color="auto" w:sz="4" w:space="0"/>
            </w:tcBorders>
          </w:tcPr>
          <w:p>
            <w:pPr>
              <w:spacing w:before="40" w:after="40"/>
              <w:jc w:val="center"/>
              <w:rPr>
                <w:rFonts w:hint="default" w:asciiTheme="minorEastAsia" w:hAnsiTheme="minorEastAsia" w:eastAsiaTheme="minorEastAsia" w:cstheme="minorEastAsia"/>
                <w:color w:val="000000"/>
                <w:sz w:val="21"/>
                <w:szCs w:val="21"/>
                <w:lang w:val="en-US" w:eastAsia="zh-CN"/>
              </w:rPr>
            </w:pPr>
          </w:p>
        </w:tc>
        <w:tc>
          <w:tcPr>
            <w:tcW w:w="390" w:type="pct"/>
            <w:tcBorders>
              <w:top w:val="single" w:color="auto" w:sz="4" w:space="0"/>
              <w:left w:val="single" w:color="auto" w:sz="4" w:space="0"/>
              <w:bottom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rPr>
            </w:pPr>
          </w:p>
        </w:tc>
        <w:tc>
          <w:tcPr>
            <w:tcW w:w="1269" w:type="pct"/>
            <w:tcBorders>
              <w:top w:val="single" w:color="auto" w:sz="4" w:space="0"/>
              <w:left w:val="single" w:color="auto" w:sz="4" w:space="0"/>
              <w:bottom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43" w:type="pct"/>
            <w:vAlign w:val="center"/>
          </w:tcPr>
          <w:p>
            <w:pPr>
              <w:spacing w:before="40" w:after="40"/>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五</w:t>
            </w:r>
          </w:p>
        </w:tc>
        <w:tc>
          <w:tcPr>
            <w:tcW w:w="918" w:type="pct"/>
            <w:vAlign w:val="center"/>
          </w:tcPr>
          <w:p>
            <w:pPr>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数据采集传输仪</w:t>
            </w:r>
          </w:p>
        </w:tc>
        <w:tc>
          <w:tcPr>
            <w:tcW w:w="58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47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308"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台</w:t>
            </w:r>
          </w:p>
        </w:tc>
        <w:tc>
          <w:tcPr>
            <w:tcW w:w="30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bCs/>
                <w:color w:val="000000"/>
                <w:sz w:val="21"/>
                <w:szCs w:val="21"/>
                <w:highlight w:val="none"/>
                <w:lang w:val="en-US" w:eastAsia="zh-CN"/>
              </w:rPr>
              <w:t>1</w:t>
            </w:r>
          </w:p>
        </w:tc>
        <w:tc>
          <w:tcPr>
            <w:tcW w:w="390" w:type="pct"/>
            <w:tcBorders>
              <w:top w:val="single" w:color="auto" w:sz="4" w:space="0"/>
              <w:left w:val="single" w:color="auto" w:sz="4" w:space="0"/>
              <w:bottom w:val="single" w:color="auto" w:sz="4" w:space="0"/>
              <w:right w:val="single" w:color="auto" w:sz="4" w:space="0"/>
            </w:tcBorders>
          </w:tcPr>
          <w:p>
            <w:pPr>
              <w:spacing w:before="40" w:after="40"/>
              <w:jc w:val="center"/>
              <w:rPr>
                <w:rFonts w:hint="default" w:asciiTheme="minorEastAsia" w:hAnsiTheme="minorEastAsia" w:eastAsiaTheme="minorEastAsia" w:cstheme="minorEastAsia"/>
                <w:color w:val="000000"/>
                <w:sz w:val="21"/>
                <w:szCs w:val="21"/>
                <w:lang w:val="en-US" w:eastAsia="zh-CN"/>
              </w:rPr>
            </w:pPr>
          </w:p>
        </w:tc>
        <w:tc>
          <w:tcPr>
            <w:tcW w:w="390" w:type="pct"/>
            <w:tcBorders>
              <w:top w:val="single" w:color="auto" w:sz="4" w:space="0"/>
              <w:left w:val="single" w:color="auto" w:sz="4" w:space="0"/>
              <w:bottom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rPr>
            </w:pPr>
          </w:p>
        </w:tc>
        <w:tc>
          <w:tcPr>
            <w:tcW w:w="1269" w:type="pct"/>
            <w:tcBorders>
              <w:top w:val="single" w:color="auto" w:sz="4" w:space="0"/>
              <w:left w:val="single" w:color="auto" w:sz="4" w:space="0"/>
              <w:bottom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43" w:type="pct"/>
            <w:vAlign w:val="center"/>
          </w:tcPr>
          <w:p>
            <w:pPr>
              <w:spacing w:before="40" w:after="40"/>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kern w:val="0"/>
                <w:sz w:val="21"/>
                <w:szCs w:val="21"/>
                <w:lang w:eastAsia="zh-CN"/>
              </w:rPr>
              <w:t>六</w:t>
            </w:r>
          </w:p>
        </w:tc>
        <w:tc>
          <w:tcPr>
            <w:tcW w:w="918" w:type="pct"/>
            <w:vAlign w:val="center"/>
          </w:tcPr>
          <w:p>
            <w:pPr>
              <w:jc w:val="center"/>
              <w:rPr>
                <w:rFonts w:hint="eastAsia" w:asciiTheme="minorEastAsia" w:hAnsiTheme="minorEastAsia" w:eastAsiaTheme="minorEastAsia" w:cstheme="minorEastAsia"/>
                <w:b/>
                <w:bCs/>
                <w:color w:val="000000"/>
                <w:kern w:val="0"/>
                <w:sz w:val="21"/>
                <w:szCs w:val="21"/>
                <w:lang w:eastAsia="zh-CN"/>
              </w:rPr>
            </w:pPr>
            <w:r>
              <w:rPr>
                <w:rFonts w:hint="eastAsia" w:asciiTheme="minorEastAsia" w:hAnsiTheme="minorEastAsia" w:eastAsiaTheme="minorEastAsia" w:cstheme="minorEastAsia"/>
                <w:b/>
                <w:bCs/>
                <w:color w:val="000000"/>
                <w:kern w:val="0"/>
                <w:sz w:val="21"/>
                <w:szCs w:val="21"/>
                <w:lang w:eastAsia="zh-CN"/>
              </w:rPr>
              <w:t>调试及比对验收</w:t>
            </w:r>
          </w:p>
        </w:tc>
        <w:tc>
          <w:tcPr>
            <w:tcW w:w="58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cstheme="minorEastAsia"/>
                <w:color w:val="000000"/>
                <w:kern w:val="0"/>
                <w:sz w:val="21"/>
                <w:szCs w:val="21"/>
                <w:lang w:val="en-US" w:eastAsia="zh-CN"/>
              </w:rPr>
              <w:t>/</w:t>
            </w:r>
          </w:p>
        </w:tc>
        <w:tc>
          <w:tcPr>
            <w:tcW w:w="47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cstheme="minorEastAsia"/>
                <w:color w:val="000000"/>
                <w:kern w:val="0"/>
                <w:sz w:val="21"/>
                <w:szCs w:val="21"/>
                <w:lang w:val="en-US" w:eastAsia="zh-CN"/>
              </w:rPr>
              <w:t>/</w:t>
            </w:r>
          </w:p>
        </w:tc>
        <w:tc>
          <w:tcPr>
            <w:tcW w:w="308"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cstheme="minorEastAsia"/>
                <w:color w:val="000000"/>
                <w:kern w:val="0"/>
                <w:sz w:val="21"/>
                <w:szCs w:val="21"/>
                <w:lang w:eastAsia="zh-CN"/>
              </w:rPr>
              <w:t>项</w:t>
            </w:r>
          </w:p>
        </w:tc>
        <w:tc>
          <w:tcPr>
            <w:tcW w:w="30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cstheme="minorEastAsia"/>
                <w:bCs/>
                <w:color w:val="000000"/>
                <w:sz w:val="21"/>
                <w:szCs w:val="21"/>
                <w:highlight w:val="none"/>
                <w:lang w:val="en-US" w:eastAsia="zh-CN"/>
              </w:rPr>
            </w:pPr>
            <w:r>
              <w:rPr>
                <w:rFonts w:hint="eastAsia" w:asciiTheme="minorEastAsia" w:hAnsiTheme="minorEastAsia" w:cstheme="minorEastAsia"/>
                <w:bCs/>
                <w:color w:val="000000"/>
                <w:sz w:val="21"/>
                <w:szCs w:val="21"/>
                <w:highlight w:val="none"/>
                <w:lang w:val="en-US" w:eastAsia="zh-CN"/>
              </w:rPr>
              <w:t>1</w:t>
            </w:r>
          </w:p>
        </w:tc>
        <w:tc>
          <w:tcPr>
            <w:tcW w:w="390" w:type="pct"/>
            <w:tcBorders>
              <w:top w:val="single" w:color="auto" w:sz="4" w:space="0"/>
              <w:left w:val="single" w:color="auto" w:sz="4" w:space="0"/>
              <w:bottom w:val="single" w:color="auto" w:sz="4" w:space="0"/>
              <w:right w:val="single" w:color="auto" w:sz="4" w:space="0"/>
            </w:tcBorders>
          </w:tcPr>
          <w:p>
            <w:pPr>
              <w:spacing w:before="40" w:after="40"/>
              <w:jc w:val="center"/>
              <w:rPr>
                <w:rFonts w:hint="default" w:asciiTheme="minorEastAsia" w:hAnsiTheme="minorEastAsia" w:eastAsiaTheme="minorEastAsia" w:cstheme="minorEastAsia"/>
                <w:color w:val="000000"/>
                <w:sz w:val="21"/>
                <w:szCs w:val="21"/>
                <w:lang w:val="en-US" w:eastAsia="zh-CN"/>
              </w:rPr>
            </w:pPr>
          </w:p>
        </w:tc>
        <w:tc>
          <w:tcPr>
            <w:tcW w:w="390" w:type="pct"/>
            <w:tcBorders>
              <w:top w:val="single" w:color="auto" w:sz="4" w:space="0"/>
              <w:left w:val="single" w:color="auto" w:sz="4" w:space="0"/>
              <w:bottom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rPr>
            </w:pPr>
          </w:p>
        </w:tc>
        <w:tc>
          <w:tcPr>
            <w:tcW w:w="1269" w:type="pct"/>
            <w:tcBorders>
              <w:top w:val="single" w:color="auto" w:sz="4" w:space="0"/>
              <w:left w:val="single" w:color="auto" w:sz="4" w:space="0"/>
              <w:bottom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含72小时调试及验收比对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43" w:type="pct"/>
            <w:vAlign w:val="center"/>
          </w:tcPr>
          <w:p>
            <w:pPr>
              <w:jc w:val="center"/>
              <w:rPr>
                <w:rFonts w:hint="eastAsia" w:asciiTheme="minorEastAsia" w:hAnsiTheme="minorEastAsia" w:eastAsiaTheme="minorEastAsia" w:cstheme="minorEastAsia"/>
                <w:b/>
                <w:bCs/>
                <w:color w:val="000000"/>
                <w:kern w:val="0"/>
                <w:sz w:val="21"/>
                <w:szCs w:val="21"/>
                <w:lang w:eastAsia="zh-CN"/>
              </w:rPr>
            </w:pPr>
            <w:r>
              <w:rPr>
                <w:rFonts w:hint="eastAsia" w:asciiTheme="minorEastAsia" w:hAnsiTheme="minorEastAsia" w:eastAsiaTheme="minorEastAsia" w:cstheme="minorEastAsia"/>
                <w:b/>
                <w:bCs/>
                <w:color w:val="000000"/>
                <w:kern w:val="0"/>
                <w:sz w:val="21"/>
                <w:szCs w:val="21"/>
                <w:lang w:eastAsia="zh-CN"/>
              </w:rPr>
              <w:t>七</w:t>
            </w:r>
          </w:p>
        </w:tc>
        <w:tc>
          <w:tcPr>
            <w:tcW w:w="918" w:type="pct"/>
            <w:vAlign w:val="center"/>
          </w:tcPr>
          <w:p>
            <w:pPr>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监测站房建设</w:t>
            </w:r>
          </w:p>
        </w:tc>
        <w:tc>
          <w:tcPr>
            <w:tcW w:w="589" w:type="pct"/>
            <w:tcBorders>
              <w:right w:val="single" w:color="auto" w:sz="4" w:space="0"/>
            </w:tcBorders>
            <w:vAlign w:val="center"/>
          </w:tcPr>
          <w:p>
            <w:pPr>
              <w:jc w:val="center"/>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cstheme="minorEastAsia"/>
                <w:color w:val="000000"/>
                <w:kern w:val="0"/>
                <w:sz w:val="21"/>
                <w:szCs w:val="21"/>
                <w:lang w:val="en-US" w:eastAsia="zh-CN"/>
              </w:rPr>
              <w:t>/</w:t>
            </w:r>
          </w:p>
        </w:tc>
        <w:tc>
          <w:tcPr>
            <w:tcW w:w="479" w:type="pct"/>
            <w:tcBorders>
              <w:right w:val="single" w:color="auto" w:sz="4" w:space="0"/>
            </w:tcBorders>
            <w:vAlign w:val="center"/>
          </w:tcPr>
          <w:p>
            <w:pPr>
              <w:jc w:val="center"/>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cstheme="minorEastAsia"/>
                <w:color w:val="000000"/>
                <w:kern w:val="0"/>
                <w:sz w:val="21"/>
                <w:szCs w:val="21"/>
                <w:lang w:val="en-US" w:eastAsia="zh-CN"/>
              </w:rPr>
              <w:t>/</w:t>
            </w:r>
          </w:p>
        </w:tc>
        <w:tc>
          <w:tcPr>
            <w:tcW w:w="308"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项</w:t>
            </w:r>
          </w:p>
        </w:tc>
        <w:tc>
          <w:tcPr>
            <w:tcW w:w="30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bCs/>
                <w:color w:val="000000"/>
                <w:sz w:val="21"/>
                <w:szCs w:val="21"/>
                <w:highlight w:val="none"/>
                <w:lang w:val="en-US" w:eastAsia="zh-CN"/>
              </w:rPr>
            </w:pPr>
            <w:r>
              <w:rPr>
                <w:rFonts w:hint="eastAsia" w:asciiTheme="minorEastAsia" w:hAnsiTheme="minorEastAsia" w:eastAsiaTheme="minorEastAsia" w:cstheme="minorEastAsia"/>
                <w:bCs/>
                <w:color w:val="000000"/>
                <w:sz w:val="21"/>
                <w:szCs w:val="21"/>
                <w:highlight w:val="none"/>
                <w:lang w:val="en-US" w:eastAsia="zh-CN"/>
              </w:rPr>
              <w:t>1</w:t>
            </w:r>
          </w:p>
        </w:tc>
        <w:tc>
          <w:tcPr>
            <w:tcW w:w="390" w:type="pct"/>
            <w:tcBorders>
              <w:top w:val="single" w:color="auto" w:sz="4" w:space="0"/>
              <w:left w:val="single" w:color="auto" w:sz="4" w:space="0"/>
              <w:bottom w:val="single" w:color="auto" w:sz="4" w:space="0"/>
              <w:right w:val="single" w:color="auto" w:sz="4" w:space="0"/>
            </w:tcBorders>
          </w:tcPr>
          <w:p>
            <w:pPr>
              <w:spacing w:before="40" w:after="40"/>
              <w:jc w:val="center"/>
              <w:rPr>
                <w:rFonts w:hint="default" w:asciiTheme="minorEastAsia" w:hAnsiTheme="minorEastAsia" w:eastAsiaTheme="minorEastAsia" w:cstheme="minorEastAsia"/>
                <w:color w:val="000000"/>
                <w:sz w:val="21"/>
                <w:szCs w:val="21"/>
                <w:lang w:val="en-US" w:eastAsia="zh-CN"/>
              </w:rPr>
            </w:pPr>
          </w:p>
        </w:tc>
        <w:tc>
          <w:tcPr>
            <w:tcW w:w="390" w:type="pct"/>
            <w:tcBorders>
              <w:top w:val="single" w:color="auto" w:sz="4" w:space="0"/>
              <w:left w:val="single" w:color="auto" w:sz="4" w:space="0"/>
              <w:bottom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rPr>
            </w:pPr>
          </w:p>
        </w:tc>
        <w:tc>
          <w:tcPr>
            <w:tcW w:w="1269" w:type="pct"/>
            <w:tcBorders>
              <w:top w:val="single" w:color="auto" w:sz="4" w:space="0"/>
              <w:left w:val="single" w:color="auto" w:sz="4" w:space="0"/>
              <w:bottom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含</w:t>
            </w:r>
            <w:r>
              <w:rPr>
                <w:rFonts w:hint="eastAsia" w:asciiTheme="minorEastAsia" w:hAnsiTheme="minorEastAsia" w:eastAsiaTheme="minorEastAsia" w:cstheme="minorEastAsia"/>
                <w:color w:val="000000"/>
                <w:sz w:val="21"/>
                <w:szCs w:val="21"/>
                <w:lang w:eastAsia="zh-CN"/>
              </w:rPr>
              <w:t>站房、基建、</w:t>
            </w:r>
            <w:r>
              <w:rPr>
                <w:rFonts w:hint="eastAsia" w:asciiTheme="minorEastAsia" w:hAnsiTheme="minorEastAsia" w:eastAsiaTheme="minorEastAsia" w:cstheme="minorEastAsia"/>
                <w:color w:val="000000"/>
                <w:sz w:val="21"/>
                <w:szCs w:val="21"/>
              </w:rPr>
              <w:t>配套设施，稳压器、空调、UPS、视频</w:t>
            </w:r>
            <w:r>
              <w:rPr>
                <w:rFonts w:hint="eastAsia" w:asciiTheme="minorEastAsia" w:hAnsiTheme="minorEastAsia" w:eastAsiaTheme="minorEastAsia" w:cstheme="minorEastAsia"/>
                <w:color w:val="000000"/>
                <w:sz w:val="21"/>
                <w:szCs w:val="21"/>
                <w:lang w:eastAsia="zh-CN"/>
              </w:rPr>
              <w:t>监控、门禁及标准化排放口</w:t>
            </w:r>
            <w:r>
              <w:rPr>
                <w:rFonts w:hint="eastAsia" w:asciiTheme="minorEastAsia" w:hAnsiTheme="minorEastAsia" w:eastAsiaTheme="minorEastAsia" w:cstheme="minorEastAsia"/>
                <w:color w:val="000000"/>
                <w:sz w:val="21"/>
                <w:szCs w:val="21"/>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43" w:type="pct"/>
            <w:vAlign w:val="center"/>
          </w:tcPr>
          <w:p>
            <w:pPr>
              <w:jc w:val="center"/>
              <w:rPr>
                <w:rFonts w:hint="eastAsia" w:asciiTheme="minorEastAsia" w:hAnsiTheme="minorEastAsia" w:eastAsiaTheme="minorEastAsia" w:cstheme="minorEastAsia"/>
                <w:b/>
                <w:bCs/>
                <w:color w:val="000000"/>
                <w:kern w:val="0"/>
                <w:sz w:val="21"/>
                <w:szCs w:val="21"/>
                <w:lang w:eastAsia="zh-CN"/>
              </w:rPr>
            </w:pPr>
          </w:p>
        </w:tc>
        <w:tc>
          <w:tcPr>
            <w:tcW w:w="918" w:type="pct"/>
            <w:vAlign w:val="center"/>
          </w:tcPr>
          <w:p>
            <w:pPr>
              <w:jc w:val="center"/>
              <w:rPr>
                <w:rFonts w:hint="eastAsia" w:asciiTheme="minorEastAsia" w:hAnsiTheme="minorEastAsia" w:eastAsiaTheme="minorEastAsia" w:cstheme="minorEastAsia"/>
                <w:b/>
                <w:bCs/>
                <w:color w:val="000000"/>
                <w:kern w:val="0"/>
                <w:sz w:val="21"/>
                <w:szCs w:val="21"/>
                <w:lang w:eastAsia="zh-CN"/>
              </w:rPr>
            </w:pPr>
            <w:r>
              <w:rPr>
                <w:rFonts w:hint="eastAsia" w:asciiTheme="minorEastAsia" w:hAnsiTheme="minorEastAsia" w:cstheme="minorEastAsia"/>
                <w:b/>
                <w:bCs/>
                <w:color w:val="000000"/>
                <w:kern w:val="0"/>
                <w:sz w:val="21"/>
                <w:szCs w:val="21"/>
                <w:lang w:eastAsia="zh-CN"/>
              </w:rPr>
              <w:t>合计</w:t>
            </w:r>
          </w:p>
        </w:tc>
        <w:tc>
          <w:tcPr>
            <w:tcW w:w="58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lang w:eastAsia="zh-CN"/>
              </w:rPr>
            </w:pPr>
          </w:p>
        </w:tc>
        <w:tc>
          <w:tcPr>
            <w:tcW w:w="479"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lang w:eastAsia="zh-CN"/>
              </w:rPr>
            </w:pPr>
          </w:p>
        </w:tc>
        <w:tc>
          <w:tcPr>
            <w:tcW w:w="308" w:type="pct"/>
            <w:tcBorders>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lang w:eastAsia="zh-CN"/>
              </w:rPr>
            </w:pPr>
          </w:p>
        </w:tc>
        <w:tc>
          <w:tcPr>
            <w:tcW w:w="30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bCs/>
                <w:color w:val="000000"/>
                <w:sz w:val="21"/>
                <w:szCs w:val="21"/>
                <w:highlight w:val="none"/>
                <w:lang w:val="en-US" w:eastAsia="zh-CN"/>
              </w:rPr>
            </w:pPr>
          </w:p>
        </w:tc>
        <w:tc>
          <w:tcPr>
            <w:tcW w:w="390" w:type="pct"/>
            <w:tcBorders>
              <w:top w:val="single" w:color="auto" w:sz="4" w:space="0"/>
              <w:left w:val="single" w:color="auto" w:sz="4" w:space="0"/>
              <w:bottom w:val="single" w:color="auto" w:sz="4" w:space="0"/>
              <w:right w:val="single" w:color="auto" w:sz="4" w:space="0"/>
            </w:tcBorders>
          </w:tcPr>
          <w:p>
            <w:pPr>
              <w:spacing w:before="40" w:after="40"/>
              <w:jc w:val="center"/>
              <w:rPr>
                <w:rFonts w:hint="default" w:asciiTheme="minorEastAsia" w:hAnsiTheme="minorEastAsia" w:eastAsiaTheme="minorEastAsia" w:cstheme="minorEastAsia"/>
                <w:color w:val="000000"/>
                <w:sz w:val="21"/>
                <w:szCs w:val="21"/>
                <w:lang w:val="en-US" w:eastAsia="zh-CN"/>
              </w:rPr>
            </w:pPr>
          </w:p>
        </w:tc>
        <w:tc>
          <w:tcPr>
            <w:tcW w:w="390" w:type="pct"/>
            <w:tcBorders>
              <w:top w:val="single" w:color="auto" w:sz="4" w:space="0"/>
              <w:left w:val="single" w:color="auto" w:sz="4" w:space="0"/>
              <w:bottom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rPr>
            </w:pPr>
          </w:p>
        </w:tc>
        <w:tc>
          <w:tcPr>
            <w:tcW w:w="1269" w:type="pct"/>
            <w:tcBorders>
              <w:top w:val="single" w:color="auto" w:sz="4" w:space="0"/>
              <w:left w:val="single" w:color="auto" w:sz="4" w:space="0"/>
              <w:bottom w:val="single" w:color="auto" w:sz="4" w:space="0"/>
              <w:right w:val="single" w:color="auto" w:sz="4" w:space="0"/>
            </w:tcBorders>
          </w:tcPr>
          <w:p>
            <w:pPr>
              <w:spacing w:before="40" w:after="40"/>
              <w:jc w:val="center"/>
              <w:rPr>
                <w:rFonts w:hint="eastAsia" w:asciiTheme="minorEastAsia" w:hAnsiTheme="minorEastAsia" w:eastAsiaTheme="minorEastAsia" w:cstheme="minorEastAsia"/>
                <w:color w:val="000000"/>
                <w:sz w:val="21"/>
                <w:szCs w:val="21"/>
              </w:rPr>
            </w:pPr>
          </w:p>
        </w:tc>
      </w:tr>
    </w:tbl>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1260" w:right="0" w:firstLine="0"/>
        <w:jc w:val="both"/>
        <w:rPr>
          <w:rFonts w:hint="default" w:ascii="仿宋_GB2312" w:hAnsi="微软雅黑" w:eastAsia="仿宋_GB2312" w:cs="仿宋_GB2312"/>
          <w:i w:val="0"/>
          <w:iCs w:val="0"/>
          <w:caps w:val="0"/>
          <w:color w:val="333333"/>
          <w:spacing w:val="0"/>
          <w:sz w:val="31"/>
          <w:szCs w:val="31"/>
          <w:shd w:val="clear" w:fill="FFFFFF"/>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1260" w:right="0" w:firstLine="0"/>
        <w:jc w:val="both"/>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说明：1.报价最多保留至小数点后2位。</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1260" w:right="0" w:firstLine="0"/>
        <w:jc w:val="both"/>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     </w:t>
      </w:r>
      <w:r>
        <w:rPr>
          <w:rFonts w:hint="eastAsia" w:ascii="仿宋_GB2312" w:hAnsi="微软雅黑" w:eastAsia="仿宋_GB2312" w:cs="仿宋_GB2312"/>
          <w:i w:val="0"/>
          <w:iCs w:val="0"/>
          <w:caps w:val="0"/>
          <w:color w:val="333333"/>
          <w:spacing w:val="0"/>
          <w:sz w:val="31"/>
          <w:szCs w:val="31"/>
          <w:shd w:val="clear" w:fill="FFFFFF"/>
          <w:lang w:val="en-US" w:eastAsia="zh-CN"/>
        </w:rPr>
        <w:t xml:space="preserve">  </w:t>
      </w:r>
      <w:r>
        <w:rPr>
          <w:rFonts w:hint="default" w:ascii="仿宋_GB2312" w:hAnsi="微软雅黑" w:eastAsia="仿宋_GB2312" w:cs="仿宋_GB2312"/>
          <w:i w:val="0"/>
          <w:iCs w:val="0"/>
          <w:caps w:val="0"/>
          <w:color w:val="333333"/>
          <w:spacing w:val="0"/>
          <w:sz w:val="31"/>
          <w:szCs w:val="31"/>
          <w:shd w:val="clear" w:fill="FFFFFF"/>
        </w:rPr>
        <w:t> 2.以上价格包含</w:t>
      </w:r>
      <w:r>
        <w:rPr>
          <w:rFonts w:hint="eastAsia" w:ascii="仿宋_GB2312" w:hAnsi="微软雅黑" w:eastAsia="仿宋_GB2312" w:cs="仿宋_GB2312"/>
          <w:i w:val="0"/>
          <w:iCs w:val="0"/>
          <w:caps w:val="0"/>
          <w:color w:val="333333"/>
          <w:spacing w:val="0"/>
          <w:kern w:val="0"/>
          <w:sz w:val="31"/>
          <w:szCs w:val="31"/>
          <w:shd w:val="clear" w:fill="FFFFFF"/>
          <w:lang w:val="en-US" w:eastAsia="zh-CN" w:bidi="ar"/>
        </w:rPr>
        <w:t>相应项目类型增值税</w:t>
      </w:r>
      <w:bookmarkStart w:id="5" w:name="_GoBack"/>
      <w:bookmarkEnd w:id="5"/>
      <w:r>
        <w:rPr>
          <w:rFonts w:hint="default" w:ascii="仿宋_GB2312" w:hAnsi="微软雅黑" w:eastAsia="仿宋_GB2312" w:cs="仿宋_GB2312"/>
          <w:i w:val="0"/>
          <w:iCs w:val="0"/>
          <w:caps w:val="0"/>
          <w:color w:val="333333"/>
          <w:spacing w:val="0"/>
          <w:sz w:val="31"/>
          <w:szCs w:val="31"/>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right"/>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                            投标人：</w:t>
      </w:r>
      <w:r>
        <w:rPr>
          <w:rFonts w:hint="eastAsia" w:ascii="微软雅黑" w:hAnsi="微软雅黑" w:eastAsia="微软雅黑" w:cs="微软雅黑"/>
          <w:i w:val="0"/>
          <w:iCs w:val="0"/>
          <w:caps w:val="0"/>
          <w:color w:val="333333"/>
          <w:spacing w:val="0"/>
          <w:sz w:val="31"/>
          <w:szCs w:val="31"/>
          <w:shd w:val="clear" w:fill="FFFFFF"/>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                            （盖章）</w:t>
      </w:r>
      <w:r>
        <w:rPr>
          <w:rFonts w:hint="eastAsia" w:ascii="微软雅黑" w:hAnsi="微软雅黑" w:eastAsia="微软雅黑" w:cs="微软雅黑"/>
          <w:i w:val="0"/>
          <w:iCs w:val="0"/>
          <w:caps w:val="0"/>
          <w:color w:val="333333"/>
          <w:spacing w:val="0"/>
          <w:sz w:val="31"/>
          <w:szCs w:val="31"/>
          <w:shd w:val="clear" w:fill="FFFFFF"/>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default" w:ascii="仿宋_GB2312" w:hAnsi="微软雅黑" w:eastAsia="仿宋_GB2312" w:cs="仿宋_GB2312"/>
          <w:i w:val="0"/>
          <w:iCs w:val="0"/>
          <w:caps w:val="0"/>
          <w:color w:val="333333"/>
          <w:spacing w:val="0"/>
          <w:sz w:val="31"/>
          <w:szCs w:val="31"/>
          <w:shd w:val="clear" w:fill="FFFFFF"/>
        </w:rPr>
        <w:t>                                             年</w:t>
      </w:r>
      <w:r>
        <w:rPr>
          <w:rFonts w:hint="eastAsia" w:ascii="微软雅黑" w:hAnsi="微软雅黑" w:eastAsia="微软雅黑" w:cs="微软雅黑"/>
          <w:i w:val="0"/>
          <w:iCs w:val="0"/>
          <w:caps w:val="0"/>
          <w:color w:val="333333"/>
          <w:spacing w:val="0"/>
          <w:sz w:val="31"/>
          <w:szCs w:val="31"/>
          <w:shd w:val="clear" w:fill="FFFFFF"/>
        </w:rPr>
        <w:t>    </w:t>
      </w:r>
      <w:r>
        <w:rPr>
          <w:rFonts w:hint="default" w:ascii="仿宋_GB2312" w:hAnsi="微软雅黑" w:eastAsia="仿宋_GB2312" w:cs="仿宋_GB2312"/>
          <w:i w:val="0"/>
          <w:iCs w:val="0"/>
          <w:caps w:val="0"/>
          <w:color w:val="333333"/>
          <w:spacing w:val="0"/>
          <w:sz w:val="31"/>
          <w:szCs w:val="31"/>
          <w:shd w:val="clear" w:fill="FFFFFF"/>
        </w:rPr>
        <w:t>月 </w:t>
      </w:r>
      <w:r>
        <w:rPr>
          <w:rFonts w:hint="eastAsia" w:ascii="微软雅黑" w:hAnsi="微软雅黑" w:eastAsia="微软雅黑" w:cs="微软雅黑"/>
          <w:i w:val="0"/>
          <w:iCs w:val="0"/>
          <w:caps w:val="0"/>
          <w:color w:val="333333"/>
          <w:spacing w:val="0"/>
          <w:sz w:val="31"/>
          <w:szCs w:val="31"/>
          <w:shd w:val="clear" w:fill="FFFFFF"/>
        </w:rPr>
        <w:t>   </w:t>
      </w:r>
      <w:r>
        <w:rPr>
          <w:rFonts w:hint="default" w:ascii="仿宋_GB2312" w:hAnsi="微软雅黑" w:eastAsia="仿宋_GB2312" w:cs="仿宋_GB2312"/>
          <w:i w:val="0"/>
          <w:iCs w:val="0"/>
          <w:caps w:val="0"/>
          <w:color w:val="333333"/>
          <w:spacing w:val="0"/>
          <w:sz w:val="31"/>
          <w:szCs w:val="31"/>
          <w:shd w:val="clear" w:fill="FFFFFF"/>
        </w:rPr>
        <w:t>日</w:t>
      </w:r>
      <w:r>
        <w:rPr>
          <w:rFonts w:hint="eastAsia" w:ascii="微软雅黑" w:hAnsi="微软雅黑" w:eastAsia="微软雅黑" w:cs="微软雅黑"/>
          <w:i w:val="0"/>
          <w:iCs w:val="0"/>
          <w:caps w:val="0"/>
          <w:color w:val="333333"/>
          <w:spacing w:val="0"/>
          <w:sz w:val="31"/>
          <w:szCs w:val="31"/>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78CE80"/>
    <w:multiLevelType w:val="singleLevel"/>
    <w:tmpl w:val="A278CE80"/>
    <w:lvl w:ilvl="0" w:tentative="0">
      <w:start w:val="1"/>
      <w:numFmt w:val="chineseCounting"/>
      <w:suff w:val="nothing"/>
      <w:lvlText w:val="%1、"/>
      <w:lvlJc w:val="left"/>
      <w:rPr>
        <w:rFonts w:hint="eastAsia"/>
      </w:rPr>
    </w:lvl>
  </w:abstractNum>
  <w:abstractNum w:abstractNumId="1">
    <w:nsid w:val="F6DDDBF6"/>
    <w:multiLevelType w:val="singleLevel"/>
    <w:tmpl w:val="F6DDDBF6"/>
    <w:lvl w:ilvl="0" w:tentative="0">
      <w:start w:val="2"/>
      <w:numFmt w:val="decimal"/>
      <w:suff w:val="nothing"/>
      <w:lvlText w:val="（%1）"/>
      <w:lvlJc w:val="left"/>
    </w:lvl>
  </w:abstractNum>
  <w:abstractNum w:abstractNumId="2">
    <w:nsid w:val="63592A83"/>
    <w:multiLevelType w:val="multilevel"/>
    <w:tmpl w:val="63592A83"/>
    <w:lvl w:ilvl="0" w:tentative="0">
      <w:start w:val="1"/>
      <w:numFmt w:val="decimal"/>
      <w:lvlText w:val="第%1章"/>
      <w:lvlJc w:val="left"/>
      <w:pPr>
        <w:tabs>
          <w:tab w:val="left" w:pos="432"/>
        </w:tabs>
        <w:ind w:left="432" w:hanging="432"/>
      </w:pPr>
      <w:rPr>
        <w:rFonts w:hint="eastAsia"/>
        <w:b/>
        <w:i w:val="0"/>
      </w:rPr>
    </w:lvl>
    <w:lvl w:ilvl="1" w:tentative="0">
      <w:start w:val="1"/>
      <w:numFmt w:val="decimal"/>
      <w:lvlText w:val="%1.%2"/>
      <w:lvlJc w:val="left"/>
      <w:pPr>
        <w:tabs>
          <w:tab w:val="left" w:pos="576"/>
        </w:tabs>
        <w:ind w:left="576" w:hanging="576"/>
      </w:pPr>
      <w:rPr>
        <w:rFonts w:hint="eastAsia"/>
        <w:b/>
        <w:i w:val="0"/>
      </w:rPr>
    </w:lvl>
    <w:lvl w:ilvl="2" w:tentative="0">
      <w:start w:val="1"/>
      <w:numFmt w:val="decimal"/>
      <w:lvlText w:val="%1.%2.%3"/>
      <w:lvlJc w:val="left"/>
      <w:pPr>
        <w:tabs>
          <w:tab w:val="left" w:pos="720"/>
        </w:tabs>
        <w:ind w:left="720" w:hanging="720"/>
      </w:pPr>
      <w:rPr>
        <w:rFonts w:hint="default" w:ascii="Times New Roman" w:hAnsi="Times New Roman" w:cs="Times New Roman"/>
      </w:rPr>
    </w:lvl>
    <w:lvl w:ilvl="3" w:tentative="0">
      <w:start w:val="1"/>
      <w:numFmt w:val="decimal"/>
      <w:pStyle w:val="4"/>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hYmVjNWE1MzdkM2ExNmQzNjIxMTc3YTdiZDI0OGYifQ=="/>
  </w:docVars>
  <w:rsids>
    <w:rsidRoot w:val="5D3F5904"/>
    <w:rsid w:val="1C696C52"/>
    <w:rsid w:val="1F9B480F"/>
    <w:rsid w:val="21E4751B"/>
    <w:rsid w:val="4EDF7428"/>
    <w:rsid w:val="5D3F5904"/>
    <w:rsid w:val="608C4857"/>
    <w:rsid w:val="6B4D555B"/>
    <w:rsid w:val="6C005C0A"/>
    <w:rsid w:val="721752EE"/>
    <w:rsid w:val="7DC044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4"/>
    <w:basedOn w:val="1"/>
    <w:next w:val="1"/>
    <w:qFormat/>
    <w:uiPriority w:val="9"/>
    <w:pPr>
      <w:keepNext/>
      <w:keepLines/>
      <w:numPr>
        <w:ilvl w:val="3"/>
        <w:numId w:val="1"/>
      </w:numPr>
      <w:spacing w:line="360" w:lineRule="auto"/>
      <w:jc w:val="left"/>
      <w:outlineLvl w:val="3"/>
    </w:pPr>
    <w:rPr>
      <w:rFonts w:eastAsia="黑体" w:cs="Times New Roman"/>
      <w:b/>
      <w:bCs/>
      <w:sz w:val="28"/>
      <w:szCs w:val="28"/>
    </w:rPr>
  </w:style>
  <w:style w:type="paragraph" w:styleId="5">
    <w:name w:val="heading 5"/>
    <w:basedOn w:val="1"/>
    <w:next w:val="1"/>
    <w:unhideWhenUsed/>
    <w:qFormat/>
    <w:uiPriority w:val="9"/>
    <w:pPr>
      <w:keepNext/>
      <w:keepLines/>
      <w:spacing w:before="280" w:after="290" w:line="372" w:lineRule="auto"/>
      <w:outlineLvl w:val="4"/>
    </w:pPr>
    <w:rPr>
      <w:b/>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6">
    <w:name w:val="Body Text Indent"/>
    <w:basedOn w:val="1"/>
    <w:qFormat/>
    <w:uiPriority w:val="0"/>
    <w:pPr>
      <w:spacing w:after="156"/>
      <w:ind w:firstLine="480"/>
    </w:p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4992</Words>
  <Characters>5354</Characters>
  <Lines>0</Lines>
  <Paragraphs>0</Paragraphs>
  <TotalTime>0</TotalTime>
  <ScaleCrop>false</ScaleCrop>
  <LinksUpToDate>false</LinksUpToDate>
  <CharactersWithSpaces>5625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2023-09-19T09:49:00Z</dcterms:created>
  <dc:creator>Administrator</dc:creator>
  <cp:lastModifiedBy>Administrator</cp:lastModifiedBy>
  <cp:lastPrinted>2023-09-21T07:04:00Z</cp:lastPrinted>
  <dcterms:modified xsi:type="dcterms:W3CDTF">2023-09-26T01:18:35Z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F06EEE223BDD44D09CC463489B15FC12_11</vt:lpwstr>
  </property>
</Properties>
</file>